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7FA" w:rsidRDefault="00C247FA" w:rsidP="00FD4A68">
      <w:pPr>
        <w:pStyle w:val="LabTitle"/>
        <w:rPr>
          <w:rStyle w:val="LabTitleInstVersred"/>
        </w:rPr>
      </w:pPr>
      <w:r>
        <w:t xml:space="preserve">Packet Tracer </w:t>
      </w:r>
      <w:r w:rsidR="00BD1ABC">
        <w:t>–</w:t>
      </w:r>
      <w:r w:rsidR="002A265F">
        <w:t xml:space="preserve"> </w:t>
      </w:r>
      <w:r w:rsidR="005719EA">
        <w:t>IPv6 - Skills Integration Challenge</w:t>
      </w:r>
    </w:p>
    <w:p w:rsidR="00E87402" w:rsidRDefault="00E87402" w:rsidP="00E87402">
      <w:pPr>
        <w:pStyle w:val="BodyText1"/>
      </w:pPr>
    </w:p>
    <w:p w:rsidR="00E87402" w:rsidRDefault="00E87402" w:rsidP="00E87402">
      <w:pPr>
        <w:pStyle w:val="LabSection"/>
        <w:numPr>
          <w:ilvl w:val="0"/>
          <w:numId w:val="0"/>
        </w:numPr>
      </w:pPr>
      <w:r w:rsidRPr="00E87402">
        <w:t>Topology</w:t>
      </w:r>
    </w:p>
    <w:p w:rsidR="008E1752" w:rsidRDefault="00CD799E" w:rsidP="008E1752">
      <w:pPr>
        <w:pStyle w:val="BodyText1"/>
      </w:pPr>
      <w:r>
        <w:rPr>
          <w:noProof/>
        </w:rPr>
        <w:drawing>
          <wp:inline distT="0" distB="0" distL="0" distR="0">
            <wp:extent cx="6400800" cy="44475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44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E95" w:rsidRDefault="00807E95" w:rsidP="00807E95">
      <w:pPr>
        <w:pStyle w:val="LabSection"/>
      </w:pPr>
      <w:r>
        <w:t>Scenario</w:t>
      </w:r>
    </w:p>
    <w:p w:rsidR="00EA6883" w:rsidRDefault="005719EA" w:rsidP="00F52D63">
      <w:pPr>
        <w:pStyle w:val="BodyTextL25"/>
        <w:ind w:left="0"/>
      </w:pPr>
      <w:proofErr w:type="spellStart"/>
      <w:r>
        <w:t>NetVise</w:t>
      </w:r>
      <w:proofErr w:type="spellEnd"/>
      <w:r>
        <w:t xml:space="preserve"> Corporation has agreed to allow the network engineering team to design and integrate an IPv6 network based on their previous pilot configurations. </w:t>
      </w:r>
      <w:r w:rsidR="00742010">
        <w:t>However, the network must go into production immediately in order to resume business operations. You should complete this skills integra</w:t>
      </w:r>
      <w:r w:rsidR="00BE546B">
        <w:t>tion challenge within a 1</w:t>
      </w:r>
      <w:r w:rsidR="000E78B5">
        <w:t xml:space="preserve"> hour timespan.</w:t>
      </w:r>
      <w:r w:rsidR="00742010">
        <w:t xml:space="preserve"> </w:t>
      </w:r>
      <w:r w:rsidR="00807E95">
        <w:br/>
      </w:r>
      <w:r w:rsidR="00807E95">
        <w:br/>
        <w:t>Prior to starting this lab, your manager provided you with some supporting training material. You are expected to review the provided material thoroughly before starting this lab.</w:t>
      </w:r>
      <w:r w:rsidR="00CD799E">
        <w:br/>
      </w:r>
      <w:r w:rsidR="00CD799E">
        <w:br/>
      </w:r>
      <w:r w:rsidR="00CD799E">
        <w:br/>
      </w:r>
      <w:r w:rsidR="00CD799E">
        <w:br/>
      </w:r>
    </w:p>
    <w:p w:rsidR="00EA6883" w:rsidRDefault="00EA6883" w:rsidP="00F52D63">
      <w:pPr>
        <w:pStyle w:val="BodyTextL25"/>
        <w:ind w:left="0"/>
      </w:pPr>
    </w:p>
    <w:p w:rsidR="00F52D63" w:rsidRPr="00BB73FF" w:rsidRDefault="00CD799E" w:rsidP="00F52D63">
      <w:pPr>
        <w:pStyle w:val="BodyTextL25"/>
        <w:ind w:left="0"/>
      </w:pPr>
      <w:r>
        <w:br/>
      </w:r>
      <w:r w:rsidR="00F52D63">
        <w:br/>
      </w:r>
      <w:r w:rsidR="00E87402">
        <w:br/>
      </w:r>
      <w:r w:rsidR="00AE56C0" w:rsidRPr="00F52D63">
        <w:rPr>
          <w:rFonts w:eastAsia="Times New Roman"/>
          <w:b/>
          <w:bCs/>
          <w:iCs/>
          <w:sz w:val="24"/>
        </w:rPr>
        <w:lastRenderedPageBreak/>
        <w:t>Addressing Table</w:t>
      </w:r>
      <w:r w:rsidR="00D0365A">
        <w:br/>
      </w:r>
    </w:p>
    <w:tbl>
      <w:tblPr>
        <w:tblW w:w="98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465"/>
        <w:gridCol w:w="1440"/>
        <w:gridCol w:w="1890"/>
        <w:gridCol w:w="2128"/>
        <w:gridCol w:w="900"/>
        <w:gridCol w:w="2070"/>
      </w:tblGrid>
      <w:tr w:rsidR="009940E3" w:rsidTr="009940E3">
        <w:trPr>
          <w:cantSplit/>
        </w:trPr>
        <w:tc>
          <w:tcPr>
            <w:tcW w:w="1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:rsidR="009940E3" w:rsidRPr="00E87D62" w:rsidRDefault="009940E3" w:rsidP="00E87D62">
            <w:pPr>
              <w:pStyle w:val="TableHeading"/>
            </w:pPr>
            <w:r w:rsidRPr="00E87D62">
              <w:t>Device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:rsidR="009940E3" w:rsidRPr="00E87D62" w:rsidRDefault="009940E3" w:rsidP="00E87D62">
            <w:pPr>
              <w:pStyle w:val="TableHeading"/>
            </w:pPr>
            <w:r w:rsidRPr="00E87D62">
              <w:t>Interface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</w:tcPr>
          <w:p w:rsidR="009940E3" w:rsidRPr="00E87D62" w:rsidRDefault="009940E3" w:rsidP="00E87D62">
            <w:pPr>
              <w:pStyle w:val="TableHeading"/>
            </w:pPr>
            <w:r>
              <w:t>Type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:rsidR="009940E3" w:rsidRPr="00E87D62" w:rsidRDefault="009940E3" w:rsidP="00E87D62">
            <w:pPr>
              <w:pStyle w:val="TableHeading"/>
            </w:pPr>
            <w:r w:rsidRPr="00E87D62">
              <w:t>IP Address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:rsidR="009940E3" w:rsidRPr="00E87D62" w:rsidRDefault="009940E3" w:rsidP="00E87D62">
            <w:pPr>
              <w:pStyle w:val="TableHeading"/>
            </w:pPr>
            <w:r>
              <w:t>Prefix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:rsidR="009940E3" w:rsidRPr="00E87D62" w:rsidRDefault="009940E3" w:rsidP="00E87D62">
            <w:pPr>
              <w:pStyle w:val="TableHeading"/>
            </w:pPr>
            <w:r w:rsidRPr="00E87D62">
              <w:t>Default Gateway</w:t>
            </w:r>
          </w:p>
        </w:tc>
      </w:tr>
      <w:tr w:rsidR="00166D3B" w:rsidTr="009940E3">
        <w:trPr>
          <w:cantSplit/>
        </w:trPr>
        <w:tc>
          <w:tcPr>
            <w:tcW w:w="1465" w:type="dxa"/>
            <w:vAlign w:val="center"/>
          </w:tcPr>
          <w:p w:rsidR="00166D3B" w:rsidRDefault="00166D3B" w:rsidP="00EC5A3F">
            <w:pPr>
              <w:pStyle w:val="TableText"/>
              <w:jc w:val="center"/>
            </w:pPr>
            <w:r>
              <w:t>ISP</w:t>
            </w:r>
          </w:p>
        </w:tc>
        <w:tc>
          <w:tcPr>
            <w:tcW w:w="1440" w:type="dxa"/>
            <w:vAlign w:val="bottom"/>
          </w:tcPr>
          <w:p w:rsidR="00166D3B" w:rsidRDefault="00166D3B" w:rsidP="00290E8A">
            <w:pPr>
              <w:pStyle w:val="TableText"/>
            </w:pPr>
            <w:r>
              <w:t>S0/0/0</w:t>
            </w:r>
          </w:p>
        </w:tc>
        <w:tc>
          <w:tcPr>
            <w:tcW w:w="1890" w:type="dxa"/>
          </w:tcPr>
          <w:p w:rsidR="00166D3B" w:rsidRDefault="00166D3B" w:rsidP="00290E8A">
            <w:pPr>
              <w:pStyle w:val="TableText"/>
            </w:pPr>
            <w:r>
              <w:t>Global Unicast</w:t>
            </w:r>
          </w:p>
        </w:tc>
        <w:tc>
          <w:tcPr>
            <w:tcW w:w="2128" w:type="dxa"/>
            <w:vAlign w:val="bottom"/>
          </w:tcPr>
          <w:p w:rsidR="00166D3B" w:rsidRPr="00EA6883" w:rsidRDefault="00166D3B" w:rsidP="00290E8A">
            <w:pPr>
              <w:pStyle w:val="TableText"/>
              <w:rPr>
                <w:i/>
                <w:color w:val="FF0000"/>
              </w:rPr>
            </w:pPr>
          </w:p>
        </w:tc>
        <w:tc>
          <w:tcPr>
            <w:tcW w:w="900" w:type="dxa"/>
            <w:vAlign w:val="bottom"/>
          </w:tcPr>
          <w:p w:rsidR="00166D3B" w:rsidRPr="00EA6883" w:rsidRDefault="00166D3B" w:rsidP="00290E8A">
            <w:pPr>
              <w:pStyle w:val="TableText"/>
              <w:rPr>
                <w:i/>
                <w:color w:val="FF0000"/>
              </w:rPr>
            </w:pPr>
          </w:p>
        </w:tc>
        <w:tc>
          <w:tcPr>
            <w:tcW w:w="2070" w:type="dxa"/>
            <w:vAlign w:val="bottom"/>
          </w:tcPr>
          <w:p w:rsidR="00166D3B" w:rsidRPr="00EA6883" w:rsidRDefault="00166D3B" w:rsidP="00290E8A">
            <w:pPr>
              <w:pStyle w:val="TableText"/>
              <w:rPr>
                <w:i/>
                <w:color w:val="FF0000"/>
              </w:rPr>
            </w:pPr>
          </w:p>
        </w:tc>
      </w:tr>
      <w:tr w:rsidR="00617381" w:rsidTr="009940E3">
        <w:trPr>
          <w:cantSplit/>
        </w:trPr>
        <w:tc>
          <w:tcPr>
            <w:tcW w:w="1465" w:type="dxa"/>
            <w:vMerge w:val="restart"/>
            <w:vAlign w:val="center"/>
          </w:tcPr>
          <w:p w:rsidR="00617381" w:rsidRPr="00E87D62" w:rsidRDefault="00617381" w:rsidP="00222E43">
            <w:pPr>
              <w:pStyle w:val="TableText"/>
              <w:jc w:val="center"/>
            </w:pPr>
            <w:r>
              <w:t>R1</w:t>
            </w:r>
          </w:p>
        </w:tc>
        <w:tc>
          <w:tcPr>
            <w:tcW w:w="1440" w:type="dxa"/>
            <w:vAlign w:val="bottom"/>
          </w:tcPr>
          <w:p w:rsidR="00617381" w:rsidRPr="00E87D62" w:rsidRDefault="00617381" w:rsidP="00290E8A">
            <w:pPr>
              <w:pStyle w:val="TableText"/>
            </w:pPr>
            <w:r>
              <w:t>S0/0/0</w:t>
            </w:r>
          </w:p>
        </w:tc>
        <w:tc>
          <w:tcPr>
            <w:tcW w:w="1890" w:type="dxa"/>
          </w:tcPr>
          <w:p w:rsidR="00617381" w:rsidRDefault="00617381" w:rsidP="00290E8A">
            <w:pPr>
              <w:pStyle w:val="TableText"/>
            </w:pPr>
            <w:r>
              <w:t>Global Unicast</w:t>
            </w:r>
          </w:p>
        </w:tc>
        <w:tc>
          <w:tcPr>
            <w:tcW w:w="2128" w:type="dxa"/>
            <w:vAlign w:val="bottom"/>
          </w:tcPr>
          <w:p w:rsidR="00617381" w:rsidRPr="00EA6883" w:rsidRDefault="00617381" w:rsidP="00290E8A">
            <w:pPr>
              <w:pStyle w:val="TableText"/>
              <w:rPr>
                <w:i/>
                <w:color w:val="FF0000"/>
              </w:rPr>
            </w:pPr>
          </w:p>
        </w:tc>
        <w:tc>
          <w:tcPr>
            <w:tcW w:w="900" w:type="dxa"/>
            <w:vAlign w:val="bottom"/>
          </w:tcPr>
          <w:p w:rsidR="00617381" w:rsidRPr="00EA6883" w:rsidRDefault="00617381" w:rsidP="00290E8A">
            <w:pPr>
              <w:pStyle w:val="TableText"/>
              <w:rPr>
                <w:i/>
                <w:color w:val="FF0000"/>
              </w:rPr>
            </w:pPr>
          </w:p>
        </w:tc>
        <w:tc>
          <w:tcPr>
            <w:tcW w:w="2070" w:type="dxa"/>
            <w:vAlign w:val="bottom"/>
          </w:tcPr>
          <w:p w:rsidR="00617381" w:rsidRPr="00EA6883" w:rsidRDefault="00617381" w:rsidP="00290E8A">
            <w:pPr>
              <w:pStyle w:val="TableText"/>
              <w:rPr>
                <w:i/>
                <w:color w:val="FF0000"/>
              </w:rPr>
            </w:pPr>
          </w:p>
        </w:tc>
      </w:tr>
      <w:tr w:rsidR="00617381" w:rsidTr="009940E3">
        <w:trPr>
          <w:cantSplit/>
        </w:trPr>
        <w:tc>
          <w:tcPr>
            <w:tcW w:w="1465" w:type="dxa"/>
            <w:vMerge/>
            <w:vAlign w:val="center"/>
          </w:tcPr>
          <w:p w:rsidR="00617381" w:rsidRPr="00E87D62" w:rsidRDefault="00617381" w:rsidP="00222E43">
            <w:pPr>
              <w:pStyle w:val="TableText"/>
              <w:jc w:val="center"/>
            </w:pPr>
          </w:p>
        </w:tc>
        <w:tc>
          <w:tcPr>
            <w:tcW w:w="1440" w:type="dxa"/>
            <w:vAlign w:val="bottom"/>
          </w:tcPr>
          <w:p w:rsidR="00617381" w:rsidRDefault="00617381" w:rsidP="00290E8A">
            <w:pPr>
              <w:pStyle w:val="TableText"/>
            </w:pPr>
            <w:r>
              <w:t>S0/0/1</w:t>
            </w:r>
          </w:p>
        </w:tc>
        <w:tc>
          <w:tcPr>
            <w:tcW w:w="1890" w:type="dxa"/>
          </w:tcPr>
          <w:p w:rsidR="00617381" w:rsidRDefault="00617381" w:rsidP="00290E8A">
            <w:pPr>
              <w:pStyle w:val="TableText"/>
            </w:pPr>
            <w:r>
              <w:t>Global Unicast</w:t>
            </w:r>
          </w:p>
        </w:tc>
        <w:tc>
          <w:tcPr>
            <w:tcW w:w="2128" w:type="dxa"/>
            <w:vAlign w:val="bottom"/>
          </w:tcPr>
          <w:p w:rsidR="00617381" w:rsidRPr="00EA6883" w:rsidRDefault="00617381" w:rsidP="00290E8A">
            <w:pPr>
              <w:pStyle w:val="TableText"/>
              <w:rPr>
                <w:i/>
                <w:color w:val="FF0000"/>
              </w:rPr>
            </w:pPr>
          </w:p>
        </w:tc>
        <w:tc>
          <w:tcPr>
            <w:tcW w:w="900" w:type="dxa"/>
            <w:vAlign w:val="bottom"/>
          </w:tcPr>
          <w:p w:rsidR="00617381" w:rsidRPr="00EA6883" w:rsidRDefault="00617381" w:rsidP="00290E8A">
            <w:pPr>
              <w:pStyle w:val="TableText"/>
              <w:rPr>
                <w:i/>
                <w:color w:val="FF0000"/>
              </w:rPr>
            </w:pPr>
          </w:p>
        </w:tc>
        <w:tc>
          <w:tcPr>
            <w:tcW w:w="2070" w:type="dxa"/>
            <w:vAlign w:val="bottom"/>
          </w:tcPr>
          <w:p w:rsidR="00617381" w:rsidRPr="00EA6883" w:rsidRDefault="00617381" w:rsidP="00290E8A">
            <w:pPr>
              <w:pStyle w:val="TableText"/>
              <w:rPr>
                <w:i/>
                <w:color w:val="FF0000"/>
              </w:rPr>
            </w:pPr>
          </w:p>
        </w:tc>
      </w:tr>
      <w:tr w:rsidR="00617381" w:rsidTr="009940E3">
        <w:trPr>
          <w:cantSplit/>
        </w:trPr>
        <w:tc>
          <w:tcPr>
            <w:tcW w:w="1465" w:type="dxa"/>
            <w:vMerge/>
            <w:vAlign w:val="center"/>
          </w:tcPr>
          <w:p w:rsidR="00617381" w:rsidRPr="00E87D62" w:rsidRDefault="00617381" w:rsidP="00222E43">
            <w:pPr>
              <w:pStyle w:val="TableText"/>
              <w:jc w:val="center"/>
            </w:pPr>
          </w:p>
        </w:tc>
        <w:tc>
          <w:tcPr>
            <w:tcW w:w="1440" w:type="dxa"/>
            <w:vAlign w:val="bottom"/>
          </w:tcPr>
          <w:p w:rsidR="00617381" w:rsidRDefault="00617381" w:rsidP="00290E8A">
            <w:pPr>
              <w:pStyle w:val="TableText"/>
            </w:pPr>
            <w:r>
              <w:t>S0/1/0</w:t>
            </w:r>
          </w:p>
        </w:tc>
        <w:tc>
          <w:tcPr>
            <w:tcW w:w="1890" w:type="dxa"/>
          </w:tcPr>
          <w:p w:rsidR="00617381" w:rsidRDefault="00617381" w:rsidP="00290E8A">
            <w:pPr>
              <w:pStyle w:val="TableText"/>
            </w:pPr>
            <w:r>
              <w:t>Global Unicast</w:t>
            </w:r>
          </w:p>
        </w:tc>
        <w:tc>
          <w:tcPr>
            <w:tcW w:w="2128" w:type="dxa"/>
            <w:vAlign w:val="bottom"/>
          </w:tcPr>
          <w:p w:rsidR="00617381" w:rsidRPr="00EA6883" w:rsidRDefault="00617381" w:rsidP="00290E8A">
            <w:pPr>
              <w:pStyle w:val="TableText"/>
              <w:rPr>
                <w:i/>
                <w:color w:val="FF0000"/>
              </w:rPr>
            </w:pPr>
          </w:p>
        </w:tc>
        <w:tc>
          <w:tcPr>
            <w:tcW w:w="900" w:type="dxa"/>
            <w:vAlign w:val="bottom"/>
          </w:tcPr>
          <w:p w:rsidR="00617381" w:rsidRPr="00EA6883" w:rsidRDefault="00617381" w:rsidP="00290E8A">
            <w:pPr>
              <w:pStyle w:val="TableText"/>
              <w:rPr>
                <w:i/>
                <w:color w:val="FF0000"/>
              </w:rPr>
            </w:pPr>
          </w:p>
        </w:tc>
        <w:tc>
          <w:tcPr>
            <w:tcW w:w="2070" w:type="dxa"/>
            <w:vAlign w:val="bottom"/>
          </w:tcPr>
          <w:p w:rsidR="00617381" w:rsidRPr="00EA6883" w:rsidRDefault="00617381" w:rsidP="00290E8A">
            <w:pPr>
              <w:pStyle w:val="TableText"/>
              <w:rPr>
                <w:i/>
                <w:color w:val="FF0000"/>
              </w:rPr>
            </w:pPr>
          </w:p>
        </w:tc>
      </w:tr>
      <w:tr w:rsidR="00617381" w:rsidTr="009940E3">
        <w:trPr>
          <w:cantSplit/>
        </w:trPr>
        <w:tc>
          <w:tcPr>
            <w:tcW w:w="1465" w:type="dxa"/>
            <w:vMerge/>
            <w:vAlign w:val="center"/>
          </w:tcPr>
          <w:p w:rsidR="00617381" w:rsidRPr="00E87D62" w:rsidRDefault="00617381" w:rsidP="00222E43">
            <w:pPr>
              <w:pStyle w:val="TableText"/>
              <w:jc w:val="center"/>
            </w:pPr>
          </w:p>
        </w:tc>
        <w:tc>
          <w:tcPr>
            <w:tcW w:w="1440" w:type="dxa"/>
            <w:vAlign w:val="bottom"/>
          </w:tcPr>
          <w:p w:rsidR="00617381" w:rsidRPr="00E87D62" w:rsidRDefault="00617381" w:rsidP="00290E8A">
            <w:pPr>
              <w:pStyle w:val="TableText"/>
            </w:pPr>
            <w:r>
              <w:t>G0/0</w:t>
            </w:r>
          </w:p>
        </w:tc>
        <w:tc>
          <w:tcPr>
            <w:tcW w:w="1890" w:type="dxa"/>
          </w:tcPr>
          <w:p w:rsidR="00617381" w:rsidRDefault="00617381" w:rsidP="00290E8A">
            <w:pPr>
              <w:pStyle w:val="TableText"/>
            </w:pPr>
            <w:r>
              <w:t>Global Unicast</w:t>
            </w:r>
          </w:p>
        </w:tc>
        <w:tc>
          <w:tcPr>
            <w:tcW w:w="2128" w:type="dxa"/>
            <w:vAlign w:val="bottom"/>
          </w:tcPr>
          <w:p w:rsidR="00617381" w:rsidRPr="00EA6883" w:rsidRDefault="00617381" w:rsidP="00290E8A">
            <w:pPr>
              <w:pStyle w:val="TableText"/>
              <w:rPr>
                <w:i/>
                <w:color w:val="FF0000"/>
              </w:rPr>
            </w:pPr>
          </w:p>
        </w:tc>
        <w:tc>
          <w:tcPr>
            <w:tcW w:w="900" w:type="dxa"/>
            <w:vAlign w:val="bottom"/>
          </w:tcPr>
          <w:p w:rsidR="00617381" w:rsidRPr="00EA6883" w:rsidRDefault="00617381" w:rsidP="00290E8A">
            <w:pPr>
              <w:pStyle w:val="TableText"/>
              <w:rPr>
                <w:i/>
                <w:color w:val="FF0000"/>
              </w:rPr>
            </w:pPr>
          </w:p>
        </w:tc>
        <w:tc>
          <w:tcPr>
            <w:tcW w:w="2070" w:type="dxa"/>
            <w:vAlign w:val="bottom"/>
          </w:tcPr>
          <w:p w:rsidR="00617381" w:rsidRPr="00EA6883" w:rsidRDefault="00617381" w:rsidP="00290E8A">
            <w:pPr>
              <w:pStyle w:val="TableText"/>
              <w:rPr>
                <w:i/>
                <w:color w:val="FF0000"/>
              </w:rPr>
            </w:pPr>
          </w:p>
        </w:tc>
      </w:tr>
      <w:tr w:rsidR="009940E3" w:rsidTr="009940E3">
        <w:trPr>
          <w:cantSplit/>
        </w:trPr>
        <w:tc>
          <w:tcPr>
            <w:tcW w:w="1465" w:type="dxa"/>
            <w:vMerge w:val="restart"/>
            <w:vAlign w:val="center"/>
          </w:tcPr>
          <w:p w:rsidR="009940E3" w:rsidRPr="00E87D62" w:rsidRDefault="005C085E" w:rsidP="005C085E">
            <w:pPr>
              <w:pStyle w:val="TableText"/>
              <w:jc w:val="center"/>
            </w:pPr>
            <w:r>
              <w:t>R2</w:t>
            </w:r>
          </w:p>
        </w:tc>
        <w:tc>
          <w:tcPr>
            <w:tcW w:w="1440" w:type="dxa"/>
            <w:vAlign w:val="bottom"/>
          </w:tcPr>
          <w:p w:rsidR="009940E3" w:rsidRPr="00E87D62" w:rsidRDefault="009940E3" w:rsidP="00290E8A">
            <w:pPr>
              <w:pStyle w:val="TableText"/>
            </w:pPr>
            <w:r>
              <w:t>S0/0/0</w:t>
            </w:r>
          </w:p>
        </w:tc>
        <w:tc>
          <w:tcPr>
            <w:tcW w:w="1890" w:type="dxa"/>
          </w:tcPr>
          <w:p w:rsidR="009940E3" w:rsidRDefault="009940E3" w:rsidP="00290E8A">
            <w:pPr>
              <w:pStyle w:val="TableText"/>
            </w:pPr>
            <w:r>
              <w:t>Global Unicast</w:t>
            </w:r>
          </w:p>
        </w:tc>
        <w:tc>
          <w:tcPr>
            <w:tcW w:w="2128" w:type="dxa"/>
            <w:vAlign w:val="bottom"/>
          </w:tcPr>
          <w:p w:rsidR="009940E3" w:rsidRPr="00EA6883" w:rsidRDefault="009940E3" w:rsidP="00290E8A">
            <w:pPr>
              <w:pStyle w:val="TableText"/>
              <w:rPr>
                <w:i/>
                <w:color w:val="FF0000"/>
              </w:rPr>
            </w:pPr>
          </w:p>
        </w:tc>
        <w:tc>
          <w:tcPr>
            <w:tcW w:w="900" w:type="dxa"/>
            <w:vAlign w:val="bottom"/>
          </w:tcPr>
          <w:p w:rsidR="009940E3" w:rsidRPr="00EA6883" w:rsidRDefault="009940E3" w:rsidP="00290E8A">
            <w:pPr>
              <w:pStyle w:val="TableText"/>
              <w:rPr>
                <w:i/>
                <w:color w:val="FF0000"/>
              </w:rPr>
            </w:pPr>
          </w:p>
        </w:tc>
        <w:tc>
          <w:tcPr>
            <w:tcW w:w="2070" w:type="dxa"/>
          </w:tcPr>
          <w:p w:rsidR="009940E3" w:rsidRPr="00EA6883" w:rsidRDefault="009940E3" w:rsidP="00290E8A">
            <w:pPr>
              <w:pStyle w:val="TableText"/>
              <w:rPr>
                <w:i/>
                <w:color w:val="FF0000"/>
              </w:rPr>
            </w:pPr>
          </w:p>
        </w:tc>
      </w:tr>
      <w:tr w:rsidR="009940E3" w:rsidTr="009940E3">
        <w:trPr>
          <w:cantSplit/>
        </w:trPr>
        <w:tc>
          <w:tcPr>
            <w:tcW w:w="1465" w:type="dxa"/>
            <w:vMerge/>
            <w:vAlign w:val="center"/>
          </w:tcPr>
          <w:p w:rsidR="009940E3" w:rsidRDefault="009940E3" w:rsidP="00222E43">
            <w:pPr>
              <w:pStyle w:val="TableText"/>
              <w:jc w:val="center"/>
            </w:pPr>
          </w:p>
        </w:tc>
        <w:tc>
          <w:tcPr>
            <w:tcW w:w="1440" w:type="dxa"/>
            <w:vAlign w:val="bottom"/>
          </w:tcPr>
          <w:p w:rsidR="009940E3" w:rsidRDefault="00B608FC" w:rsidP="00290E8A">
            <w:pPr>
              <w:pStyle w:val="TableText"/>
            </w:pPr>
            <w:r>
              <w:t>G0/0</w:t>
            </w:r>
          </w:p>
        </w:tc>
        <w:tc>
          <w:tcPr>
            <w:tcW w:w="1890" w:type="dxa"/>
          </w:tcPr>
          <w:p w:rsidR="009940E3" w:rsidRDefault="009940E3" w:rsidP="00290E8A">
            <w:pPr>
              <w:pStyle w:val="TableText"/>
            </w:pPr>
            <w:r>
              <w:t>Global Unicast</w:t>
            </w:r>
          </w:p>
        </w:tc>
        <w:tc>
          <w:tcPr>
            <w:tcW w:w="2128" w:type="dxa"/>
            <w:vAlign w:val="bottom"/>
          </w:tcPr>
          <w:p w:rsidR="009940E3" w:rsidRPr="00EA6883" w:rsidRDefault="009940E3" w:rsidP="00290E8A">
            <w:pPr>
              <w:pStyle w:val="TableText"/>
              <w:rPr>
                <w:i/>
                <w:color w:val="FF0000"/>
              </w:rPr>
            </w:pPr>
          </w:p>
        </w:tc>
        <w:tc>
          <w:tcPr>
            <w:tcW w:w="900" w:type="dxa"/>
            <w:vAlign w:val="bottom"/>
          </w:tcPr>
          <w:p w:rsidR="009940E3" w:rsidRPr="00EA6883" w:rsidRDefault="009940E3" w:rsidP="00290E8A">
            <w:pPr>
              <w:pStyle w:val="TableText"/>
              <w:rPr>
                <w:i/>
                <w:color w:val="FF0000"/>
              </w:rPr>
            </w:pPr>
          </w:p>
        </w:tc>
        <w:tc>
          <w:tcPr>
            <w:tcW w:w="2070" w:type="dxa"/>
          </w:tcPr>
          <w:p w:rsidR="009940E3" w:rsidRPr="00EA6883" w:rsidRDefault="009940E3" w:rsidP="00290E8A">
            <w:pPr>
              <w:pStyle w:val="TableText"/>
              <w:rPr>
                <w:i/>
                <w:color w:val="FF0000"/>
              </w:rPr>
            </w:pPr>
          </w:p>
        </w:tc>
      </w:tr>
      <w:tr w:rsidR="009940E3" w:rsidTr="009940E3">
        <w:trPr>
          <w:cantSplit/>
        </w:trPr>
        <w:tc>
          <w:tcPr>
            <w:tcW w:w="1465" w:type="dxa"/>
            <w:vMerge/>
            <w:vAlign w:val="center"/>
          </w:tcPr>
          <w:p w:rsidR="009940E3" w:rsidRDefault="009940E3" w:rsidP="00222E43">
            <w:pPr>
              <w:pStyle w:val="TableText"/>
              <w:jc w:val="center"/>
            </w:pPr>
          </w:p>
        </w:tc>
        <w:tc>
          <w:tcPr>
            <w:tcW w:w="1440" w:type="dxa"/>
            <w:vAlign w:val="bottom"/>
          </w:tcPr>
          <w:p w:rsidR="009940E3" w:rsidRDefault="00B608FC" w:rsidP="00290E8A">
            <w:pPr>
              <w:pStyle w:val="TableText"/>
            </w:pPr>
            <w:r>
              <w:t>G0/1</w:t>
            </w:r>
          </w:p>
        </w:tc>
        <w:tc>
          <w:tcPr>
            <w:tcW w:w="1890" w:type="dxa"/>
          </w:tcPr>
          <w:p w:rsidR="009940E3" w:rsidRDefault="009940E3" w:rsidP="00290E8A">
            <w:pPr>
              <w:pStyle w:val="TableText"/>
            </w:pPr>
            <w:r>
              <w:t>Global Unicast</w:t>
            </w:r>
          </w:p>
        </w:tc>
        <w:tc>
          <w:tcPr>
            <w:tcW w:w="2128" w:type="dxa"/>
            <w:vAlign w:val="bottom"/>
          </w:tcPr>
          <w:p w:rsidR="009940E3" w:rsidRPr="00EA6883" w:rsidRDefault="009940E3" w:rsidP="00290E8A">
            <w:pPr>
              <w:pStyle w:val="TableText"/>
              <w:rPr>
                <w:i/>
                <w:color w:val="FF0000"/>
              </w:rPr>
            </w:pPr>
          </w:p>
        </w:tc>
        <w:tc>
          <w:tcPr>
            <w:tcW w:w="900" w:type="dxa"/>
            <w:vAlign w:val="bottom"/>
          </w:tcPr>
          <w:p w:rsidR="009940E3" w:rsidRPr="00EA6883" w:rsidRDefault="009940E3" w:rsidP="00290E8A">
            <w:pPr>
              <w:pStyle w:val="TableText"/>
              <w:rPr>
                <w:i/>
                <w:color w:val="FF0000"/>
              </w:rPr>
            </w:pPr>
          </w:p>
        </w:tc>
        <w:tc>
          <w:tcPr>
            <w:tcW w:w="2070" w:type="dxa"/>
          </w:tcPr>
          <w:p w:rsidR="009940E3" w:rsidRPr="00EA6883" w:rsidRDefault="009940E3" w:rsidP="00290E8A">
            <w:pPr>
              <w:pStyle w:val="TableText"/>
              <w:rPr>
                <w:i/>
                <w:color w:val="FF0000"/>
              </w:rPr>
            </w:pPr>
          </w:p>
        </w:tc>
      </w:tr>
      <w:tr w:rsidR="009940E3" w:rsidTr="009940E3">
        <w:trPr>
          <w:cantSplit/>
        </w:trPr>
        <w:tc>
          <w:tcPr>
            <w:tcW w:w="1465" w:type="dxa"/>
            <w:vMerge w:val="restart"/>
            <w:vAlign w:val="center"/>
          </w:tcPr>
          <w:p w:rsidR="009940E3" w:rsidRDefault="00B608FC" w:rsidP="00222E43">
            <w:pPr>
              <w:pStyle w:val="TableText"/>
              <w:jc w:val="center"/>
            </w:pPr>
            <w:r>
              <w:t>R3</w:t>
            </w:r>
          </w:p>
        </w:tc>
        <w:tc>
          <w:tcPr>
            <w:tcW w:w="1440" w:type="dxa"/>
            <w:vAlign w:val="bottom"/>
          </w:tcPr>
          <w:p w:rsidR="009940E3" w:rsidRDefault="009940E3" w:rsidP="00290E8A">
            <w:pPr>
              <w:pStyle w:val="TableText"/>
            </w:pPr>
            <w:r>
              <w:t>S0/0/0</w:t>
            </w:r>
          </w:p>
        </w:tc>
        <w:tc>
          <w:tcPr>
            <w:tcW w:w="1890" w:type="dxa"/>
          </w:tcPr>
          <w:p w:rsidR="009940E3" w:rsidRDefault="009940E3" w:rsidP="00290E8A">
            <w:pPr>
              <w:pStyle w:val="TableText"/>
            </w:pPr>
            <w:r>
              <w:t>Global Unicast</w:t>
            </w:r>
          </w:p>
        </w:tc>
        <w:tc>
          <w:tcPr>
            <w:tcW w:w="2128" w:type="dxa"/>
            <w:vAlign w:val="bottom"/>
          </w:tcPr>
          <w:p w:rsidR="009940E3" w:rsidRPr="00EA6883" w:rsidRDefault="009940E3" w:rsidP="00290E8A">
            <w:pPr>
              <w:pStyle w:val="TableText"/>
              <w:rPr>
                <w:i/>
                <w:color w:val="FF0000"/>
              </w:rPr>
            </w:pPr>
          </w:p>
        </w:tc>
        <w:tc>
          <w:tcPr>
            <w:tcW w:w="900" w:type="dxa"/>
            <w:vAlign w:val="bottom"/>
          </w:tcPr>
          <w:p w:rsidR="009940E3" w:rsidRPr="00EA6883" w:rsidRDefault="009940E3" w:rsidP="00290E8A">
            <w:pPr>
              <w:pStyle w:val="TableText"/>
              <w:rPr>
                <w:i/>
                <w:color w:val="FF0000"/>
              </w:rPr>
            </w:pPr>
          </w:p>
        </w:tc>
        <w:tc>
          <w:tcPr>
            <w:tcW w:w="2070" w:type="dxa"/>
          </w:tcPr>
          <w:p w:rsidR="009940E3" w:rsidRPr="00EA6883" w:rsidRDefault="009940E3" w:rsidP="00290E8A">
            <w:pPr>
              <w:pStyle w:val="TableText"/>
              <w:rPr>
                <w:i/>
                <w:color w:val="FF0000"/>
              </w:rPr>
            </w:pPr>
          </w:p>
        </w:tc>
      </w:tr>
      <w:tr w:rsidR="009940E3" w:rsidTr="009940E3">
        <w:trPr>
          <w:cantSplit/>
        </w:trPr>
        <w:tc>
          <w:tcPr>
            <w:tcW w:w="1465" w:type="dxa"/>
            <w:vMerge/>
            <w:vAlign w:val="center"/>
          </w:tcPr>
          <w:p w:rsidR="009940E3" w:rsidRDefault="009940E3" w:rsidP="00222E43">
            <w:pPr>
              <w:pStyle w:val="TableText"/>
              <w:jc w:val="center"/>
            </w:pPr>
          </w:p>
        </w:tc>
        <w:tc>
          <w:tcPr>
            <w:tcW w:w="1440" w:type="dxa"/>
            <w:vAlign w:val="bottom"/>
          </w:tcPr>
          <w:p w:rsidR="009940E3" w:rsidRDefault="00B608FC" w:rsidP="00290E8A">
            <w:pPr>
              <w:pStyle w:val="TableText"/>
            </w:pPr>
            <w:r>
              <w:t>G0/0</w:t>
            </w:r>
          </w:p>
        </w:tc>
        <w:tc>
          <w:tcPr>
            <w:tcW w:w="1890" w:type="dxa"/>
          </w:tcPr>
          <w:p w:rsidR="009940E3" w:rsidRDefault="009940E3" w:rsidP="00290E8A">
            <w:pPr>
              <w:pStyle w:val="TableText"/>
            </w:pPr>
            <w:r>
              <w:t>Global Unicast</w:t>
            </w:r>
          </w:p>
        </w:tc>
        <w:tc>
          <w:tcPr>
            <w:tcW w:w="2128" w:type="dxa"/>
            <w:vAlign w:val="bottom"/>
          </w:tcPr>
          <w:p w:rsidR="009940E3" w:rsidRPr="00EA6883" w:rsidRDefault="009940E3" w:rsidP="00290E8A">
            <w:pPr>
              <w:pStyle w:val="TableText"/>
              <w:rPr>
                <w:i/>
                <w:color w:val="FF0000"/>
              </w:rPr>
            </w:pPr>
          </w:p>
        </w:tc>
        <w:tc>
          <w:tcPr>
            <w:tcW w:w="900" w:type="dxa"/>
            <w:vAlign w:val="bottom"/>
          </w:tcPr>
          <w:p w:rsidR="009940E3" w:rsidRPr="00EA6883" w:rsidRDefault="009940E3" w:rsidP="00290E8A">
            <w:pPr>
              <w:pStyle w:val="TableText"/>
              <w:rPr>
                <w:i/>
                <w:color w:val="FF0000"/>
              </w:rPr>
            </w:pPr>
          </w:p>
        </w:tc>
        <w:tc>
          <w:tcPr>
            <w:tcW w:w="2070" w:type="dxa"/>
          </w:tcPr>
          <w:p w:rsidR="009940E3" w:rsidRPr="00EA6883" w:rsidRDefault="009940E3" w:rsidP="00290E8A">
            <w:pPr>
              <w:pStyle w:val="TableText"/>
              <w:rPr>
                <w:i/>
                <w:color w:val="FF0000"/>
              </w:rPr>
            </w:pPr>
          </w:p>
        </w:tc>
      </w:tr>
      <w:tr w:rsidR="009940E3" w:rsidTr="009940E3">
        <w:trPr>
          <w:cantSplit/>
        </w:trPr>
        <w:tc>
          <w:tcPr>
            <w:tcW w:w="1465" w:type="dxa"/>
            <w:vMerge/>
            <w:vAlign w:val="center"/>
          </w:tcPr>
          <w:p w:rsidR="009940E3" w:rsidRDefault="009940E3" w:rsidP="00222E43">
            <w:pPr>
              <w:pStyle w:val="TableText"/>
              <w:jc w:val="center"/>
            </w:pPr>
          </w:p>
        </w:tc>
        <w:tc>
          <w:tcPr>
            <w:tcW w:w="1440" w:type="dxa"/>
            <w:vAlign w:val="bottom"/>
          </w:tcPr>
          <w:p w:rsidR="009940E3" w:rsidRDefault="00B608FC" w:rsidP="00290E8A">
            <w:pPr>
              <w:pStyle w:val="TableText"/>
            </w:pPr>
            <w:r>
              <w:t>G0/1</w:t>
            </w:r>
          </w:p>
        </w:tc>
        <w:tc>
          <w:tcPr>
            <w:tcW w:w="1890" w:type="dxa"/>
          </w:tcPr>
          <w:p w:rsidR="009940E3" w:rsidRDefault="009940E3" w:rsidP="00290E8A">
            <w:pPr>
              <w:pStyle w:val="TableText"/>
            </w:pPr>
            <w:r>
              <w:t>Global Unicast</w:t>
            </w:r>
          </w:p>
        </w:tc>
        <w:tc>
          <w:tcPr>
            <w:tcW w:w="2128" w:type="dxa"/>
            <w:vAlign w:val="bottom"/>
          </w:tcPr>
          <w:p w:rsidR="009940E3" w:rsidRPr="00EA6883" w:rsidRDefault="009940E3" w:rsidP="00290E8A">
            <w:pPr>
              <w:pStyle w:val="TableText"/>
              <w:rPr>
                <w:i/>
                <w:color w:val="FF0000"/>
              </w:rPr>
            </w:pPr>
          </w:p>
        </w:tc>
        <w:tc>
          <w:tcPr>
            <w:tcW w:w="900" w:type="dxa"/>
            <w:vAlign w:val="bottom"/>
          </w:tcPr>
          <w:p w:rsidR="009940E3" w:rsidRPr="00EA6883" w:rsidRDefault="009940E3" w:rsidP="00290E8A">
            <w:pPr>
              <w:pStyle w:val="TableText"/>
              <w:rPr>
                <w:i/>
                <w:color w:val="FF0000"/>
              </w:rPr>
            </w:pPr>
          </w:p>
        </w:tc>
        <w:tc>
          <w:tcPr>
            <w:tcW w:w="2070" w:type="dxa"/>
          </w:tcPr>
          <w:p w:rsidR="009940E3" w:rsidRPr="00EA6883" w:rsidRDefault="009940E3" w:rsidP="00290E8A">
            <w:pPr>
              <w:pStyle w:val="TableText"/>
              <w:rPr>
                <w:i/>
                <w:color w:val="FF0000"/>
              </w:rPr>
            </w:pPr>
          </w:p>
        </w:tc>
      </w:tr>
      <w:tr w:rsidR="005C085E" w:rsidTr="009940E3">
        <w:trPr>
          <w:cantSplit/>
        </w:trPr>
        <w:tc>
          <w:tcPr>
            <w:tcW w:w="1465" w:type="dxa"/>
            <w:vAlign w:val="center"/>
          </w:tcPr>
          <w:p w:rsidR="005C085E" w:rsidRDefault="005C085E" w:rsidP="00222E43">
            <w:pPr>
              <w:pStyle w:val="TableText"/>
              <w:jc w:val="center"/>
            </w:pPr>
            <w:r>
              <w:t>PC1</w:t>
            </w:r>
          </w:p>
        </w:tc>
        <w:tc>
          <w:tcPr>
            <w:tcW w:w="1440" w:type="dxa"/>
            <w:vAlign w:val="bottom"/>
          </w:tcPr>
          <w:p w:rsidR="005C085E" w:rsidRDefault="005C085E" w:rsidP="00290E8A">
            <w:pPr>
              <w:pStyle w:val="TableText"/>
            </w:pPr>
            <w:r>
              <w:t>NIC</w:t>
            </w:r>
          </w:p>
        </w:tc>
        <w:tc>
          <w:tcPr>
            <w:tcW w:w="1890" w:type="dxa"/>
          </w:tcPr>
          <w:p w:rsidR="005C085E" w:rsidRDefault="005C085E" w:rsidP="00290E8A">
            <w:pPr>
              <w:pStyle w:val="TableText"/>
            </w:pPr>
            <w:r>
              <w:t>Static</w:t>
            </w:r>
          </w:p>
        </w:tc>
        <w:tc>
          <w:tcPr>
            <w:tcW w:w="2128" w:type="dxa"/>
            <w:vAlign w:val="bottom"/>
          </w:tcPr>
          <w:p w:rsidR="005C085E" w:rsidRPr="00EA6883" w:rsidRDefault="005C085E" w:rsidP="00290E8A">
            <w:pPr>
              <w:pStyle w:val="TableText"/>
              <w:rPr>
                <w:i/>
                <w:color w:val="FF0000"/>
              </w:rPr>
            </w:pPr>
          </w:p>
        </w:tc>
        <w:tc>
          <w:tcPr>
            <w:tcW w:w="900" w:type="dxa"/>
            <w:vAlign w:val="bottom"/>
          </w:tcPr>
          <w:p w:rsidR="005C085E" w:rsidRPr="00EA6883" w:rsidRDefault="005C085E" w:rsidP="007D129F">
            <w:pPr>
              <w:pStyle w:val="TableText"/>
              <w:rPr>
                <w:i/>
                <w:color w:val="FF0000"/>
              </w:rPr>
            </w:pPr>
          </w:p>
        </w:tc>
        <w:tc>
          <w:tcPr>
            <w:tcW w:w="2070" w:type="dxa"/>
          </w:tcPr>
          <w:p w:rsidR="005C085E" w:rsidRPr="00EA6883" w:rsidRDefault="005C085E" w:rsidP="009940E3">
            <w:pPr>
              <w:pStyle w:val="TableText"/>
              <w:rPr>
                <w:i/>
                <w:color w:val="FF0000"/>
              </w:rPr>
            </w:pPr>
          </w:p>
        </w:tc>
      </w:tr>
      <w:tr w:rsidR="005C085E" w:rsidTr="009940E3">
        <w:trPr>
          <w:cantSplit/>
        </w:trPr>
        <w:tc>
          <w:tcPr>
            <w:tcW w:w="1465" w:type="dxa"/>
            <w:vAlign w:val="center"/>
          </w:tcPr>
          <w:p w:rsidR="005C085E" w:rsidRDefault="005C085E" w:rsidP="00222E43">
            <w:pPr>
              <w:pStyle w:val="TableText"/>
              <w:jc w:val="center"/>
            </w:pPr>
            <w:r>
              <w:t>PC2</w:t>
            </w:r>
          </w:p>
        </w:tc>
        <w:tc>
          <w:tcPr>
            <w:tcW w:w="1440" w:type="dxa"/>
            <w:vAlign w:val="bottom"/>
          </w:tcPr>
          <w:p w:rsidR="005C085E" w:rsidRDefault="005C085E" w:rsidP="00290E8A">
            <w:pPr>
              <w:pStyle w:val="TableText"/>
            </w:pPr>
            <w:r>
              <w:t>NIC</w:t>
            </w:r>
          </w:p>
        </w:tc>
        <w:tc>
          <w:tcPr>
            <w:tcW w:w="1890" w:type="dxa"/>
          </w:tcPr>
          <w:p w:rsidR="005C085E" w:rsidRDefault="005C085E" w:rsidP="00290E8A">
            <w:pPr>
              <w:pStyle w:val="TableText"/>
            </w:pPr>
            <w:r>
              <w:t>Static</w:t>
            </w:r>
          </w:p>
        </w:tc>
        <w:tc>
          <w:tcPr>
            <w:tcW w:w="2128" w:type="dxa"/>
            <w:vAlign w:val="bottom"/>
          </w:tcPr>
          <w:p w:rsidR="005C085E" w:rsidRPr="00EA6883" w:rsidRDefault="005C085E" w:rsidP="00290E8A">
            <w:pPr>
              <w:pStyle w:val="TableText"/>
              <w:rPr>
                <w:i/>
                <w:color w:val="FF0000"/>
              </w:rPr>
            </w:pPr>
          </w:p>
        </w:tc>
        <w:tc>
          <w:tcPr>
            <w:tcW w:w="900" w:type="dxa"/>
            <w:vAlign w:val="bottom"/>
          </w:tcPr>
          <w:p w:rsidR="005C085E" w:rsidRPr="00EA6883" w:rsidRDefault="005C085E" w:rsidP="007D129F">
            <w:pPr>
              <w:pStyle w:val="TableText"/>
              <w:rPr>
                <w:i/>
                <w:color w:val="FF0000"/>
              </w:rPr>
            </w:pPr>
          </w:p>
        </w:tc>
        <w:tc>
          <w:tcPr>
            <w:tcW w:w="2070" w:type="dxa"/>
          </w:tcPr>
          <w:p w:rsidR="005C085E" w:rsidRPr="00EA6883" w:rsidRDefault="005C085E" w:rsidP="009940E3">
            <w:pPr>
              <w:pStyle w:val="TableText"/>
              <w:rPr>
                <w:i/>
                <w:color w:val="FF0000"/>
              </w:rPr>
            </w:pPr>
          </w:p>
        </w:tc>
      </w:tr>
      <w:tr w:rsidR="009940E3" w:rsidTr="009940E3">
        <w:trPr>
          <w:cantSplit/>
        </w:trPr>
        <w:tc>
          <w:tcPr>
            <w:tcW w:w="1465" w:type="dxa"/>
            <w:vAlign w:val="center"/>
          </w:tcPr>
          <w:p w:rsidR="009940E3" w:rsidRDefault="005C085E" w:rsidP="00222E43">
            <w:pPr>
              <w:pStyle w:val="TableText"/>
              <w:jc w:val="center"/>
            </w:pPr>
            <w:r>
              <w:t>PC3</w:t>
            </w:r>
          </w:p>
        </w:tc>
        <w:tc>
          <w:tcPr>
            <w:tcW w:w="1440" w:type="dxa"/>
            <w:vAlign w:val="bottom"/>
          </w:tcPr>
          <w:p w:rsidR="009940E3" w:rsidRDefault="009940E3" w:rsidP="00290E8A">
            <w:pPr>
              <w:pStyle w:val="TableText"/>
            </w:pPr>
            <w:r>
              <w:t>NIC</w:t>
            </w:r>
          </w:p>
        </w:tc>
        <w:tc>
          <w:tcPr>
            <w:tcW w:w="1890" w:type="dxa"/>
          </w:tcPr>
          <w:p w:rsidR="009940E3" w:rsidRDefault="005C085E" w:rsidP="00290E8A">
            <w:pPr>
              <w:pStyle w:val="TableText"/>
            </w:pPr>
            <w:r>
              <w:t>EUI-64</w:t>
            </w:r>
          </w:p>
        </w:tc>
        <w:tc>
          <w:tcPr>
            <w:tcW w:w="2128" w:type="dxa"/>
            <w:vAlign w:val="bottom"/>
          </w:tcPr>
          <w:p w:rsidR="009940E3" w:rsidRPr="00EA6883" w:rsidRDefault="009940E3" w:rsidP="00290E8A">
            <w:pPr>
              <w:pStyle w:val="TableText"/>
              <w:rPr>
                <w:i/>
                <w:color w:val="FF0000"/>
              </w:rPr>
            </w:pPr>
          </w:p>
        </w:tc>
        <w:tc>
          <w:tcPr>
            <w:tcW w:w="900" w:type="dxa"/>
            <w:vAlign w:val="bottom"/>
          </w:tcPr>
          <w:p w:rsidR="009940E3" w:rsidRPr="00EA6883" w:rsidRDefault="009940E3" w:rsidP="007D129F">
            <w:pPr>
              <w:pStyle w:val="TableText"/>
              <w:rPr>
                <w:i/>
                <w:color w:val="FF0000"/>
              </w:rPr>
            </w:pPr>
          </w:p>
        </w:tc>
        <w:tc>
          <w:tcPr>
            <w:tcW w:w="2070" w:type="dxa"/>
          </w:tcPr>
          <w:p w:rsidR="009940E3" w:rsidRPr="00EA6883" w:rsidRDefault="009940E3" w:rsidP="009940E3">
            <w:pPr>
              <w:pStyle w:val="TableText"/>
              <w:rPr>
                <w:i/>
                <w:color w:val="FF0000"/>
              </w:rPr>
            </w:pPr>
          </w:p>
        </w:tc>
      </w:tr>
      <w:tr w:rsidR="005C085E" w:rsidTr="009940E3">
        <w:trPr>
          <w:cantSplit/>
        </w:trPr>
        <w:tc>
          <w:tcPr>
            <w:tcW w:w="1465" w:type="dxa"/>
            <w:vAlign w:val="center"/>
          </w:tcPr>
          <w:p w:rsidR="005C085E" w:rsidRDefault="005C085E" w:rsidP="00222E43">
            <w:pPr>
              <w:pStyle w:val="TableText"/>
              <w:jc w:val="center"/>
            </w:pPr>
            <w:r>
              <w:t>PC4</w:t>
            </w:r>
          </w:p>
        </w:tc>
        <w:tc>
          <w:tcPr>
            <w:tcW w:w="1440" w:type="dxa"/>
            <w:vAlign w:val="bottom"/>
          </w:tcPr>
          <w:p w:rsidR="005C085E" w:rsidRDefault="005C085E" w:rsidP="00290E8A">
            <w:pPr>
              <w:pStyle w:val="TableText"/>
            </w:pPr>
            <w:r>
              <w:t>NIC</w:t>
            </w:r>
          </w:p>
        </w:tc>
        <w:tc>
          <w:tcPr>
            <w:tcW w:w="1890" w:type="dxa"/>
          </w:tcPr>
          <w:p w:rsidR="005C085E" w:rsidRDefault="005C085E" w:rsidP="00290E8A">
            <w:pPr>
              <w:pStyle w:val="TableText"/>
            </w:pPr>
            <w:r>
              <w:t>DHCPv6</w:t>
            </w:r>
          </w:p>
        </w:tc>
        <w:tc>
          <w:tcPr>
            <w:tcW w:w="2128" w:type="dxa"/>
            <w:vAlign w:val="bottom"/>
          </w:tcPr>
          <w:p w:rsidR="005C085E" w:rsidRPr="00EA6883" w:rsidRDefault="005C085E" w:rsidP="00290E8A">
            <w:pPr>
              <w:pStyle w:val="TableText"/>
              <w:rPr>
                <w:i/>
                <w:color w:val="FF0000"/>
              </w:rPr>
            </w:pPr>
          </w:p>
        </w:tc>
        <w:tc>
          <w:tcPr>
            <w:tcW w:w="900" w:type="dxa"/>
            <w:vAlign w:val="bottom"/>
          </w:tcPr>
          <w:p w:rsidR="005C085E" w:rsidRPr="00EA6883" w:rsidRDefault="005C085E" w:rsidP="007D129F">
            <w:pPr>
              <w:pStyle w:val="TableText"/>
              <w:rPr>
                <w:i/>
                <w:color w:val="FF0000"/>
              </w:rPr>
            </w:pPr>
          </w:p>
        </w:tc>
        <w:tc>
          <w:tcPr>
            <w:tcW w:w="2070" w:type="dxa"/>
          </w:tcPr>
          <w:p w:rsidR="005C085E" w:rsidRPr="00EA6883" w:rsidRDefault="005C085E" w:rsidP="009940E3">
            <w:pPr>
              <w:pStyle w:val="TableText"/>
              <w:rPr>
                <w:i/>
                <w:color w:val="FF0000"/>
              </w:rPr>
            </w:pPr>
          </w:p>
        </w:tc>
      </w:tr>
      <w:tr w:rsidR="00781451" w:rsidTr="009940E3">
        <w:trPr>
          <w:cantSplit/>
        </w:trPr>
        <w:tc>
          <w:tcPr>
            <w:tcW w:w="1465" w:type="dxa"/>
            <w:vAlign w:val="center"/>
          </w:tcPr>
          <w:p w:rsidR="00781451" w:rsidRDefault="00781451" w:rsidP="00222E43">
            <w:pPr>
              <w:pStyle w:val="TableText"/>
              <w:jc w:val="center"/>
            </w:pPr>
            <w:r>
              <w:t>Web Server</w:t>
            </w:r>
          </w:p>
        </w:tc>
        <w:tc>
          <w:tcPr>
            <w:tcW w:w="1440" w:type="dxa"/>
            <w:vAlign w:val="bottom"/>
          </w:tcPr>
          <w:p w:rsidR="00781451" w:rsidRDefault="00781451" w:rsidP="00290E8A">
            <w:pPr>
              <w:pStyle w:val="TableText"/>
            </w:pPr>
            <w:r>
              <w:t>NIC</w:t>
            </w:r>
          </w:p>
        </w:tc>
        <w:tc>
          <w:tcPr>
            <w:tcW w:w="1890" w:type="dxa"/>
          </w:tcPr>
          <w:p w:rsidR="00781451" w:rsidRDefault="00781451" w:rsidP="00290E8A">
            <w:pPr>
              <w:pStyle w:val="TableText"/>
            </w:pPr>
            <w:r>
              <w:t>Static</w:t>
            </w:r>
          </w:p>
        </w:tc>
        <w:tc>
          <w:tcPr>
            <w:tcW w:w="2128" w:type="dxa"/>
            <w:vAlign w:val="bottom"/>
          </w:tcPr>
          <w:p w:rsidR="00781451" w:rsidRPr="00EA6883" w:rsidRDefault="00781451" w:rsidP="00290E8A">
            <w:pPr>
              <w:pStyle w:val="TableText"/>
              <w:rPr>
                <w:i/>
                <w:color w:val="FF0000"/>
              </w:rPr>
            </w:pPr>
          </w:p>
        </w:tc>
        <w:tc>
          <w:tcPr>
            <w:tcW w:w="900" w:type="dxa"/>
            <w:vAlign w:val="bottom"/>
          </w:tcPr>
          <w:p w:rsidR="00781451" w:rsidRPr="00EA6883" w:rsidRDefault="00781451" w:rsidP="007D129F">
            <w:pPr>
              <w:pStyle w:val="TableText"/>
              <w:rPr>
                <w:i/>
                <w:color w:val="FF0000"/>
              </w:rPr>
            </w:pPr>
          </w:p>
        </w:tc>
        <w:tc>
          <w:tcPr>
            <w:tcW w:w="2070" w:type="dxa"/>
          </w:tcPr>
          <w:p w:rsidR="00781451" w:rsidRPr="00EA6883" w:rsidRDefault="00781451" w:rsidP="00781451">
            <w:pPr>
              <w:pStyle w:val="TableText"/>
              <w:rPr>
                <w:i/>
                <w:color w:val="FF0000"/>
              </w:rPr>
            </w:pPr>
          </w:p>
        </w:tc>
      </w:tr>
    </w:tbl>
    <w:p w:rsidR="00807E95" w:rsidRDefault="00807E95" w:rsidP="009479CF">
      <w:pPr>
        <w:pStyle w:val="BodyTextL25"/>
        <w:ind w:left="0"/>
      </w:pPr>
    </w:p>
    <w:p w:rsidR="000749DD" w:rsidRPr="00BB73FF" w:rsidRDefault="000749DD" w:rsidP="000749DD">
      <w:pPr>
        <w:pStyle w:val="LabSection"/>
      </w:pPr>
      <w:r w:rsidRPr="00BB73FF">
        <w:t>Objective</w:t>
      </w:r>
      <w:r>
        <w:t>s</w:t>
      </w:r>
    </w:p>
    <w:p w:rsidR="005B01BB" w:rsidRDefault="00D6770B" w:rsidP="006378AE">
      <w:pPr>
        <w:pStyle w:val="Bulletlevel1"/>
        <w:numPr>
          <w:ilvl w:val="0"/>
          <w:numId w:val="5"/>
        </w:numPr>
      </w:pPr>
      <w:r>
        <w:t>Develop hierarchical IPv6 addressing scheme</w:t>
      </w:r>
    </w:p>
    <w:p w:rsidR="00D6770B" w:rsidRDefault="00D6770B" w:rsidP="006378AE">
      <w:pPr>
        <w:pStyle w:val="Bulletlevel1"/>
        <w:numPr>
          <w:ilvl w:val="0"/>
          <w:numId w:val="5"/>
        </w:numPr>
      </w:pPr>
      <w:r>
        <w:t>Assign interfaces and hosts IPv6 addresses</w:t>
      </w:r>
    </w:p>
    <w:p w:rsidR="00D6770B" w:rsidRDefault="00D6770B" w:rsidP="00D6770B">
      <w:pPr>
        <w:pStyle w:val="Bulletlevel1"/>
        <w:numPr>
          <w:ilvl w:val="1"/>
          <w:numId w:val="5"/>
        </w:numPr>
      </w:pPr>
      <w:r>
        <w:t>Static</w:t>
      </w:r>
    </w:p>
    <w:p w:rsidR="00D6770B" w:rsidRDefault="00D6770B" w:rsidP="00D6770B">
      <w:pPr>
        <w:pStyle w:val="Bulletlevel1"/>
        <w:numPr>
          <w:ilvl w:val="1"/>
          <w:numId w:val="5"/>
        </w:numPr>
      </w:pPr>
      <w:r>
        <w:t>EUI-64</w:t>
      </w:r>
    </w:p>
    <w:p w:rsidR="00D6770B" w:rsidRDefault="00D6770B" w:rsidP="00D6770B">
      <w:pPr>
        <w:pStyle w:val="Bulletlevel1"/>
        <w:numPr>
          <w:ilvl w:val="1"/>
          <w:numId w:val="5"/>
        </w:numPr>
      </w:pPr>
      <w:r>
        <w:t>DHCPv6</w:t>
      </w:r>
    </w:p>
    <w:p w:rsidR="00D6770B" w:rsidRDefault="008C3BEA" w:rsidP="00D6770B">
      <w:pPr>
        <w:pStyle w:val="Bulletlevel1"/>
        <w:numPr>
          <w:ilvl w:val="0"/>
          <w:numId w:val="5"/>
        </w:numPr>
      </w:pPr>
      <w:r>
        <w:t>Configure IPv6 dynamic routing using EIGRPv6</w:t>
      </w:r>
    </w:p>
    <w:p w:rsidR="008C3BEA" w:rsidRDefault="008C3BEA" w:rsidP="008C3BEA">
      <w:pPr>
        <w:pStyle w:val="Bulletlevel1"/>
        <w:numPr>
          <w:ilvl w:val="0"/>
          <w:numId w:val="5"/>
        </w:numPr>
      </w:pPr>
      <w:r>
        <w:t>Configure static and default routing to support the network requirements</w:t>
      </w:r>
    </w:p>
    <w:p w:rsidR="008C3BEA" w:rsidRDefault="008C3BEA" w:rsidP="008C3BEA">
      <w:pPr>
        <w:pStyle w:val="Bulletlevel1"/>
        <w:numPr>
          <w:ilvl w:val="0"/>
          <w:numId w:val="5"/>
        </w:numPr>
      </w:pPr>
      <w:r>
        <w:t>Utilize access control lists to restrict web server access</w:t>
      </w:r>
    </w:p>
    <w:p w:rsidR="00D85686" w:rsidRDefault="00D85686" w:rsidP="00D85686">
      <w:pPr>
        <w:pStyle w:val="Bulletlevel1"/>
        <w:numPr>
          <w:ilvl w:val="0"/>
          <w:numId w:val="0"/>
        </w:numPr>
        <w:ind w:left="1080"/>
      </w:pPr>
    </w:p>
    <w:p w:rsidR="007843F4" w:rsidRDefault="00CD799E" w:rsidP="00D85686">
      <w:pPr>
        <w:pStyle w:val="Bulletlevel1"/>
        <w:numPr>
          <w:ilvl w:val="0"/>
          <w:numId w:val="0"/>
        </w:numPr>
      </w:pP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 w:rsidR="00512B8A" w:rsidRPr="00A9658C">
        <w:rPr>
          <w:b/>
        </w:rPr>
        <w:lastRenderedPageBreak/>
        <w:t xml:space="preserve">Task 1: </w:t>
      </w:r>
      <w:r w:rsidR="00D85686" w:rsidRPr="00D85686">
        <w:rPr>
          <w:b/>
        </w:rPr>
        <w:t>Develop hierarchical IPv6 addressing scheme</w:t>
      </w:r>
      <w:r w:rsidR="005300BC">
        <w:rPr>
          <w:b/>
        </w:rPr>
        <w:t xml:space="preserve"> and assign interfaces and hosts IPv6 address appropriately. </w:t>
      </w:r>
      <w:r w:rsidR="000444FA">
        <w:rPr>
          <w:b/>
        </w:rPr>
        <w:br/>
      </w:r>
    </w:p>
    <w:p w:rsidR="00B95F19" w:rsidRDefault="00794CA8" w:rsidP="00D85686">
      <w:pPr>
        <w:pStyle w:val="BodyText1"/>
      </w:pPr>
      <w:r w:rsidRPr="00794CA8">
        <w:rPr>
          <w:b/>
        </w:rPr>
        <w:t>Step 1:</w:t>
      </w:r>
      <w:r w:rsidR="006D7868">
        <w:t xml:space="preserve"> </w:t>
      </w:r>
      <w:r w:rsidR="00D85686">
        <w:t>Your ISP has assigned the global prefix of 2001</w:t>
      </w:r>
      <w:proofErr w:type="gramStart"/>
      <w:r w:rsidR="00D85686">
        <w:t>:acad</w:t>
      </w:r>
      <w:proofErr w:type="gramEnd"/>
      <w:r w:rsidR="00D85686">
        <w:t>::/64, given this information you must develop an IPv6 addressing scheme to meet the network requirements.</w:t>
      </w:r>
      <w:r w:rsidR="00FA7D8C">
        <w:t xml:space="preserve"> Document all IPv6 address information in the address table provided.</w:t>
      </w:r>
    </w:p>
    <w:p w:rsidR="00FA7D8C" w:rsidRDefault="00FA7D8C" w:rsidP="00D85686">
      <w:pPr>
        <w:pStyle w:val="BodyText1"/>
      </w:pPr>
    </w:p>
    <w:p w:rsidR="003F6AA0" w:rsidRDefault="003F6AA0" w:rsidP="003F6AA0">
      <w:pPr>
        <w:pStyle w:val="BodyText1"/>
      </w:pPr>
      <w:r w:rsidRPr="00794CA8">
        <w:rPr>
          <w:b/>
        </w:rPr>
        <w:t>S</w:t>
      </w:r>
      <w:r w:rsidR="00FA118E">
        <w:rPr>
          <w:b/>
        </w:rPr>
        <w:t>tep 2</w:t>
      </w:r>
      <w:r w:rsidRPr="00794CA8">
        <w:rPr>
          <w:b/>
        </w:rPr>
        <w:t>:</w:t>
      </w:r>
      <w:r>
        <w:t xml:space="preserve"> </w:t>
      </w:r>
      <w:r w:rsidR="00FA118E">
        <w:t>Assign network infrastructure interfaces with IPv6 addresses</w:t>
      </w:r>
      <w:r w:rsidR="00637B57">
        <w:t xml:space="preserve"> according to the address table and enable IPv6 unicast routing.</w:t>
      </w:r>
    </w:p>
    <w:p w:rsidR="00FA7D8C" w:rsidRDefault="00FA7D8C" w:rsidP="00D85686">
      <w:pPr>
        <w:pStyle w:val="BodyText1"/>
      </w:pPr>
    </w:p>
    <w:p w:rsidR="0072082E" w:rsidRDefault="00DD6562" w:rsidP="00DD6562">
      <w:pPr>
        <w:pStyle w:val="BodyText1"/>
      </w:pPr>
      <w:r w:rsidRPr="00794CA8">
        <w:rPr>
          <w:b/>
        </w:rPr>
        <w:t>S</w:t>
      </w:r>
      <w:r w:rsidR="00D70A34">
        <w:rPr>
          <w:b/>
        </w:rPr>
        <w:t>tep 3</w:t>
      </w:r>
      <w:r w:rsidRPr="00794CA8">
        <w:rPr>
          <w:b/>
        </w:rPr>
        <w:t>:</w:t>
      </w:r>
      <w:r>
        <w:t xml:space="preserve"> Assign hosts with IPv6 addresses according to the address table.</w:t>
      </w:r>
    </w:p>
    <w:p w:rsidR="0072082E" w:rsidRDefault="0072082E" w:rsidP="0072082E">
      <w:pPr>
        <w:pStyle w:val="BodyText1"/>
        <w:numPr>
          <w:ilvl w:val="0"/>
          <w:numId w:val="18"/>
        </w:numPr>
      </w:pPr>
      <w:r>
        <w:t>Web server, PC1, and PC2 are all assigned statically, no additional configuration is required besides manually entering the IPv6 address and default gateway in the GUI.</w:t>
      </w:r>
      <w:r w:rsidR="00E00DD0">
        <w:br/>
      </w:r>
    </w:p>
    <w:p w:rsidR="006879D4" w:rsidRDefault="0072082E" w:rsidP="0072082E">
      <w:pPr>
        <w:pStyle w:val="BodyText1"/>
        <w:numPr>
          <w:ilvl w:val="0"/>
          <w:numId w:val="18"/>
        </w:numPr>
      </w:pPr>
      <w:r>
        <w:t xml:space="preserve">PC3 should be enabled for stateless </w:t>
      </w:r>
      <w:proofErr w:type="spellStart"/>
      <w:r>
        <w:t>autoconfiguration</w:t>
      </w:r>
      <w:proofErr w:type="spellEnd"/>
      <w:r>
        <w:t>, by selecting “auto-</w:t>
      </w:r>
      <w:proofErr w:type="spellStart"/>
      <w:r>
        <w:t>config</w:t>
      </w:r>
      <w:proofErr w:type="spellEnd"/>
      <w:r>
        <w:t xml:space="preserve">” for the IPv6 address and default gateway. </w:t>
      </w:r>
    </w:p>
    <w:p w:rsidR="00304DB3" w:rsidRDefault="00304DB3" w:rsidP="00EA6883">
      <w:pPr>
        <w:pStyle w:val="BodyText1"/>
      </w:pPr>
    </w:p>
    <w:p w:rsidR="006879D4" w:rsidRDefault="006879D4" w:rsidP="0072082E">
      <w:pPr>
        <w:pStyle w:val="BodyText1"/>
        <w:numPr>
          <w:ilvl w:val="0"/>
          <w:numId w:val="18"/>
        </w:numPr>
      </w:pPr>
      <w:r>
        <w:t>R3 should be configured as a DHCPv6 server to issue IPv6 address information to PC4.</w:t>
      </w:r>
    </w:p>
    <w:p w:rsidR="006879D4" w:rsidRDefault="006879D4" w:rsidP="006879D4">
      <w:pPr>
        <w:pStyle w:val="BodyText1"/>
        <w:numPr>
          <w:ilvl w:val="1"/>
          <w:numId w:val="18"/>
        </w:numPr>
      </w:pPr>
      <w:r>
        <w:t>Address Prefix: 2001:acad:0:32::/64</w:t>
      </w:r>
    </w:p>
    <w:p w:rsidR="006879D4" w:rsidRDefault="006879D4" w:rsidP="006879D4">
      <w:pPr>
        <w:pStyle w:val="BodyText1"/>
        <w:numPr>
          <w:ilvl w:val="1"/>
          <w:numId w:val="18"/>
        </w:numPr>
      </w:pPr>
      <w:r>
        <w:t>Domain Name: netspace.com</w:t>
      </w:r>
    </w:p>
    <w:p w:rsidR="00DD6562" w:rsidRDefault="006879D4" w:rsidP="006879D4">
      <w:pPr>
        <w:pStyle w:val="BodyText1"/>
        <w:numPr>
          <w:ilvl w:val="1"/>
          <w:numId w:val="18"/>
        </w:numPr>
      </w:pPr>
      <w:r>
        <w:t xml:space="preserve">DNS Server: </w:t>
      </w:r>
      <w:r>
        <w:rPr>
          <w:rFonts w:cs="Arial"/>
          <w:color w:val="444444"/>
          <w:shd w:val="clear" w:color="auto" w:fill="FFFFFF"/>
        </w:rPr>
        <w:t>2001:4860:4860::8888</w:t>
      </w:r>
      <w:r w:rsidR="009523E7">
        <w:br/>
      </w:r>
    </w:p>
    <w:p w:rsidR="007428CE" w:rsidRDefault="007428CE" w:rsidP="007428CE">
      <w:pPr>
        <w:pStyle w:val="Bulletlevel1"/>
        <w:numPr>
          <w:ilvl w:val="0"/>
          <w:numId w:val="0"/>
        </w:numPr>
      </w:pPr>
      <w:r>
        <w:rPr>
          <w:b/>
        </w:rPr>
        <w:t>Task 2</w:t>
      </w:r>
      <w:r w:rsidRPr="00A9658C">
        <w:rPr>
          <w:b/>
        </w:rPr>
        <w:t xml:space="preserve">: </w:t>
      </w:r>
      <w:r>
        <w:rPr>
          <w:b/>
        </w:rPr>
        <w:t xml:space="preserve">Configure IPv6 dynamic routing using EIGRPv6 </w:t>
      </w:r>
      <w:r>
        <w:rPr>
          <w:b/>
        </w:rPr>
        <w:br/>
      </w:r>
    </w:p>
    <w:p w:rsidR="007428CE" w:rsidRDefault="007428CE" w:rsidP="007428CE">
      <w:pPr>
        <w:pStyle w:val="BodyText1"/>
      </w:pPr>
      <w:r w:rsidRPr="00794CA8">
        <w:rPr>
          <w:b/>
        </w:rPr>
        <w:t>Step 1:</w:t>
      </w:r>
      <w:r>
        <w:t xml:space="preserve"> </w:t>
      </w:r>
      <w:r w:rsidR="00E36590">
        <w:t xml:space="preserve">Enable EIGRPv6 and assign </w:t>
      </w:r>
      <w:r w:rsidR="00013DF7">
        <w:t>router-ids</w:t>
      </w:r>
      <w:r w:rsidR="003A4625">
        <w:t xml:space="preserve">, use an autonomous system number of your choosing. </w:t>
      </w:r>
    </w:p>
    <w:p w:rsidR="00E36590" w:rsidRDefault="00E36590" w:rsidP="00E36590">
      <w:pPr>
        <w:pStyle w:val="BodyText1"/>
        <w:numPr>
          <w:ilvl w:val="0"/>
          <w:numId w:val="18"/>
        </w:numPr>
      </w:pPr>
      <w:r>
        <w:t>R1 – 1.1.1.1/32 Lo0</w:t>
      </w:r>
    </w:p>
    <w:p w:rsidR="00E36590" w:rsidRDefault="00E36590" w:rsidP="00E36590">
      <w:pPr>
        <w:pStyle w:val="BodyText1"/>
        <w:numPr>
          <w:ilvl w:val="0"/>
          <w:numId w:val="18"/>
        </w:numPr>
      </w:pPr>
      <w:r>
        <w:t>R2 – 2.2.2.2/32 Lo0</w:t>
      </w:r>
    </w:p>
    <w:p w:rsidR="00E36590" w:rsidRDefault="00E36590" w:rsidP="00E36590">
      <w:pPr>
        <w:pStyle w:val="BodyText1"/>
        <w:numPr>
          <w:ilvl w:val="0"/>
          <w:numId w:val="18"/>
        </w:numPr>
      </w:pPr>
      <w:r>
        <w:t>R3 – 3.3.3.3/32 Lo0</w:t>
      </w:r>
    </w:p>
    <w:p w:rsidR="003E3530" w:rsidRDefault="003E3530" w:rsidP="00EA6883">
      <w:pPr>
        <w:pStyle w:val="BodyText1"/>
        <w:rPr>
          <w:color w:val="FF0000"/>
        </w:rPr>
      </w:pPr>
    </w:p>
    <w:p w:rsidR="0069025E" w:rsidRPr="00EA6883" w:rsidRDefault="003E3530" w:rsidP="00EA6883">
      <w:pPr>
        <w:pStyle w:val="BodyText1"/>
      </w:pPr>
      <w:r>
        <w:rPr>
          <w:b/>
        </w:rPr>
        <w:t>Step 2</w:t>
      </w:r>
      <w:r w:rsidRPr="00794CA8">
        <w:rPr>
          <w:b/>
        </w:rPr>
        <w:t>:</w:t>
      </w:r>
      <w:r>
        <w:t xml:space="preserve"> Enable the appropriate interfaces for EIGRPv6</w:t>
      </w:r>
      <w:r w:rsidR="001E3232">
        <w:t xml:space="preserve"> to allow for full reachability. </w:t>
      </w:r>
    </w:p>
    <w:p w:rsidR="00941C94" w:rsidRDefault="00941C94" w:rsidP="003E3530">
      <w:pPr>
        <w:pStyle w:val="BodyText1"/>
      </w:pPr>
    </w:p>
    <w:p w:rsidR="0059085C" w:rsidRPr="00EA6883" w:rsidRDefault="00EA6883" w:rsidP="00EA6883">
      <w:pPr>
        <w:pStyle w:val="BodyText1"/>
      </w:pPr>
      <w:r>
        <w:rPr>
          <w:b/>
        </w:rPr>
        <w:t>Step 3</w:t>
      </w:r>
      <w:r w:rsidR="00F52369" w:rsidRPr="00794CA8">
        <w:rPr>
          <w:b/>
        </w:rPr>
        <w:t>:</w:t>
      </w:r>
      <w:r w:rsidR="00F52369">
        <w:t xml:space="preserve"> Summarize networks coming from R2 </w:t>
      </w:r>
      <w:r w:rsidR="000F7B30">
        <w:t xml:space="preserve">LAN interfaces. </w:t>
      </w:r>
    </w:p>
    <w:p w:rsidR="00EB36FA" w:rsidRDefault="00EB36FA" w:rsidP="007005E6">
      <w:pPr>
        <w:pStyle w:val="BodyText1"/>
      </w:pPr>
    </w:p>
    <w:p w:rsidR="00D44193" w:rsidRPr="00D44193" w:rsidRDefault="00327904" w:rsidP="00D44193">
      <w:pPr>
        <w:pStyle w:val="Bulletlevel1"/>
        <w:numPr>
          <w:ilvl w:val="0"/>
          <w:numId w:val="0"/>
        </w:numPr>
        <w:rPr>
          <w:b/>
        </w:rPr>
      </w:pPr>
      <w:r>
        <w:rPr>
          <w:b/>
        </w:rPr>
        <w:t>Task 3</w:t>
      </w:r>
      <w:r w:rsidR="00D44193" w:rsidRPr="00D44193">
        <w:rPr>
          <w:b/>
        </w:rPr>
        <w:t>: Configure static and default routing to support the network requirements</w:t>
      </w:r>
      <w:r w:rsidR="00D44193" w:rsidRPr="00D44193">
        <w:rPr>
          <w:b/>
        </w:rPr>
        <w:br/>
      </w:r>
    </w:p>
    <w:p w:rsidR="00D44193" w:rsidRDefault="00D44193" w:rsidP="00D44193">
      <w:pPr>
        <w:pStyle w:val="BodyText1"/>
      </w:pPr>
      <w:r w:rsidRPr="00794CA8">
        <w:rPr>
          <w:b/>
        </w:rPr>
        <w:t>Step 1:</w:t>
      </w:r>
      <w:r>
        <w:t xml:space="preserve"> Redistribute default route into the EIGRP process for R2 and R3 to reach the internet (ISP).</w:t>
      </w:r>
    </w:p>
    <w:p w:rsidR="000E5B45" w:rsidRPr="000E5B45" w:rsidRDefault="00433736" w:rsidP="00433736">
      <w:pPr>
        <w:pStyle w:val="BodyText1"/>
        <w:ind w:left="720"/>
        <w:rPr>
          <w:color w:val="FF0000"/>
        </w:rPr>
      </w:pPr>
      <w:r>
        <w:rPr>
          <w:color w:val="FF0000"/>
        </w:rPr>
        <w:br/>
      </w:r>
      <w:r w:rsidRPr="00433736">
        <w:rPr>
          <w:b/>
        </w:rPr>
        <w:t>NOTE:</w:t>
      </w:r>
      <w:r w:rsidRPr="00433736">
        <w:t xml:space="preserve"> A bug occurs when you attempt create a loopback address for the static default route, it will not show up in the routing table, in this ca</w:t>
      </w:r>
      <w:r>
        <w:t>se a physical interface is used, but is against best practice.</w:t>
      </w:r>
    </w:p>
    <w:p w:rsidR="00327904" w:rsidRDefault="00327904" w:rsidP="00EA6883">
      <w:pPr>
        <w:pStyle w:val="BodyText1"/>
        <w:rPr>
          <w:color w:val="FF0000"/>
        </w:rPr>
      </w:pPr>
    </w:p>
    <w:p w:rsidR="00EA6883" w:rsidRPr="00EA6883" w:rsidRDefault="00327904" w:rsidP="00EA6883">
      <w:pPr>
        <w:pStyle w:val="BodyText1"/>
      </w:pPr>
      <w:r>
        <w:rPr>
          <w:b/>
        </w:rPr>
        <w:t>Step 2</w:t>
      </w:r>
      <w:r w:rsidRPr="00794CA8">
        <w:rPr>
          <w:b/>
        </w:rPr>
        <w:t>:</w:t>
      </w:r>
      <w:r>
        <w:t xml:space="preserve"> </w:t>
      </w:r>
      <w:r w:rsidR="00D3086B">
        <w:t>Configure a default static route on the ISP Router to allow full reachability.</w:t>
      </w:r>
    </w:p>
    <w:p w:rsidR="00E31C37" w:rsidRPr="00D44193" w:rsidRDefault="00E62A4A" w:rsidP="00E31C37">
      <w:pPr>
        <w:pStyle w:val="Bulletlevel1"/>
        <w:numPr>
          <w:ilvl w:val="0"/>
          <w:numId w:val="0"/>
        </w:numPr>
        <w:rPr>
          <w:b/>
        </w:rPr>
      </w:pPr>
      <w:r>
        <w:rPr>
          <w:b/>
        </w:rPr>
        <w:br/>
      </w:r>
      <w:r w:rsidR="00E31C37">
        <w:rPr>
          <w:b/>
        </w:rPr>
        <w:t>Task 4:</w:t>
      </w:r>
      <w:r w:rsidR="00E31C37" w:rsidRPr="00D44193">
        <w:rPr>
          <w:b/>
        </w:rPr>
        <w:t xml:space="preserve"> </w:t>
      </w:r>
      <w:r w:rsidR="00E31C37" w:rsidRPr="00E31C37">
        <w:rPr>
          <w:b/>
        </w:rPr>
        <w:t>Utili</w:t>
      </w:r>
      <w:bookmarkStart w:id="0" w:name="_GoBack"/>
      <w:bookmarkEnd w:id="0"/>
      <w:r w:rsidR="00E31C37" w:rsidRPr="00E31C37">
        <w:rPr>
          <w:b/>
        </w:rPr>
        <w:t>ze access control lists to restrict web server access</w:t>
      </w:r>
      <w:r w:rsidR="00E31C37" w:rsidRPr="00D44193">
        <w:rPr>
          <w:b/>
        </w:rPr>
        <w:br/>
      </w:r>
    </w:p>
    <w:p w:rsidR="008D3666" w:rsidRPr="00EA6883" w:rsidRDefault="00E31C37" w:rsidP="00EA6883">
      <w:pPr>
        <w:pStyle w:val="BodyText1"/>
      </w:pPr>
      <w:r w:rsidRPr="00794CA8">
        <w:rPr>
          <w:b/>
        </w:rPr>
        <w:t>Step 1:</w:t>
      </w:r>
      <w:r>
        <w:t xml:space="preserve"> Create an ACL that blocks HTTP and FTP tr</w:t>
      </w:r>
      <w:r w:rsidR="00421CC8">
        <w:t xml:space="preserve">affic sourcing from PC1 and PC2 and permits all other traffic </w:t>
      </w:r>
      <w:r w:rsidR="0050124E">
        <w:t xml:space="preserve">from any </w:t>
      </w:r>
      <w:r w:rsidR="00421CC8">
        <w:t xml:space="preserve">sources. </w:t>
      </w:r>
    </w:p>
    <w:sectPr w:rsidR="008D3666" w:rsidRPr="00EA6883" w:rsidSect="002C4639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E43" w:rsidRDefault="00866E43" w:rsidP="0090659A">
      <w:pPr>
        <w:spacing w:after="0" w:line="240" w:lineRule="auto"/>
      </w:pPr>
      <w:r>
        <w:separator/>
      </w:r>
    </w:p>
    <w:p w:rsidR="00866E43" w:rsidRDefault="00866E43"/>
    <w:p w:rsidR="00866E43" w:rsidRDefault="00866E43"/>
    <w:p w:rsidR="00866E43" w:rsidRDefault="00866E43"/>
    <w:p w:rsidR="00866E43" w:rsidRDefault="00866E43" w:rsidP="002C4639"/>
  </w:endnote>
  <w:endnote w:type="continuationSeparator" w:id="0">
    <w:p w:rsidR="00866E43" w:rsidRDefault="00866E43" w:rsidP="0090659A">
      <w:pPr>
        <w:spacing w:after="0" w:line="240" w:lineRule="auto"/>
      </w:pPr>
      <w:r>
        <w:continuationSeparator/>
      </w:r>
    </w:p>
    <w:p w:rsidR="00866E43" w:rsidRDefault="00866E43"/>
    <w:p w:rsidR="00866E43" w:rsidRDefault="00866E43"/>
    <w:p w:rsidR="00866E43" w:rsidRDefault="00866E43"/>
    <w:p w:rsidR="00866E43" w:rsidRDefault="00866E43" w:rsidP="002C4639"/>
  </w:endnote>
  <w:endnote w:type="continuationNotice" w:id="1">
    <w:p w:rsidR="00866E43" w:rsidRDefault="00866E43" w:rsidP="002C463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307" w:rsidRPr="0090659A" w:rsidRDefault="008C4307" w:rsidP="002C4639">
    <w:pPr>
      <w:pStyle w:val="Footer"/>
      <w:rPr>
        <w:szCs w:val="16"/>
      </w:rPr>
    </w:pPr>
    <w:r w:rsidRPr="002A244B">
      <w:t xml:space="preserve">© </w:t>
    </w:r>
    <w:r>
      <w:t>201</w:t>
    </w:r>
    <w:r w:rsidR="001772B8">
      <w:t>3</w:t>
    </w:r>
    <w:r w:rsidRPr="002A244B">
      <w:t xml:space="preserve"> Cisco </w:t>
    </w:r>
    <w:r>
      <w:t>and/or its affiliates</w:t>
    </w:r>
    <w:r w:rsidRPr="002A244B">
      <w:t>. All rights reserved. This document is Cisco Public.</w:t>
    </w:r>
    <w:r>
      <w:rPr>
        <w:szCs w:val="16"/>
      </w:rPr>
      <w:tab/>
    </w:r>
    <w:r w:rsidRPr="0090659A">
      <w:rPr>
        <w:szCs w:val="16"/>
      </w:rPr>
      <w:t xml:space="preserve">Page </w:t>
    </w:r>
    <w:r w:rsidR="003905FC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="003905FC" w:rsidRPr="0090659A">
      <w:rPr>
        <w:b/>
        <w:szCs w:val="16"/>
      </w:rPr>
      <w:fldChar w:fldCharType="separate"/>
    </w:r>
    <w:r w:rsidR="00D70A34">
      <w:rPr>
        <w:b/>
        <w:noProof/>
        <w:szCs w:val="16"/>
      </w:rPr>
      <w:t>3</w:t>
    </w:r>
    <w:r w:rsidR="003905FC" w:rsidRPr="0090659A">
      <w:rPr>
        <w:b/>
        <w:szCs w:val="16"/>
      </w:rPr>
      <w:fldChar w:fldCharType="end"/>
    </w:r>
    <w:r w:rsidRPr="0090659A">
      <w:rPr>
        <w:szCs w:val="16"/>
      </w:rPr>
      <w:t xml:space="preserve"> of </w:t>
    </w:r>
    <w:r w:rsidR="003905FC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="003905FC" w:rsidRPr="0090659A">
      <w:rPr>
        <w:b/>
        <w:szCs w:val="16"/>
      </w:rPr>
      <w:fldChar w:fldCharType="separate"/>
    </w:r>
    <w:r w:rsidR="00D70A34">
      <w:rPr>
        <w:b/>
        <w:noProof/>
        <w:szCs w:val="16"/>
      </w:rPr>
      <w:t>3</w:t>
    </w:r>
    <w:r w:rsidR="003905FC" w:rsidRPr="0090659A">
      <w:rPr>
        <w:b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307" w:rsidRPr="0090659A" w:rsidRDefault="008C4307" w:rsidP="002C4639">
    <w:pPr>
      <w:pStyle w:val="Footer"/>
      <w:rPr>
        <w:szCs w:val="16"/>
      </w:rPr>
    </w:pPr>
    <w:r w:rsidRPr="002A244B">
      <w:t xml:space="preserve">© </w:t>
    </w:r>
    <w:r w:rsidR="001772B8">
      <w:t>2013</w:t>
    </w:r>
    <w:r w:rsidRPr="002A244B">
      <w:t xml:space="preserve"> Cisco </w:t>
    </w:r>
    <w:r>
      <w:t>and/or its affiliates</w:t>
    </w:r>
    <w:r w:rsidRPr="002A244B">
      <w:t>. All rights reserved. This document is Cisco Public.</w:t>
    </w:r>
    <w:r>
      <w:rPr>
        <w:szCs w:val="16"/>
      </w:rPr>
      <w:tab/>
    </w:r>
    <w:r w:rsidRPr="0090659A">
      <w:rPr>
        <w:szCs w:val="16"/>
      </w:rPr>
      <w:t xml:space="preserve">Page </w:t>
    </w:r>
    <w:r w:rsidR="003905FC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="003905FC" w:rsidRPr="0090659A">
      <w:rPr>
        <w:b/>
        <w:szCs w:val="16"/>
      </w:rPr>
      <w:fldChar w:fldCharType="separate"/>
    </w:r>
    <w:r w:rsidR="00D70A34">
      <w:rPr>
        <w:b/>
        <w:noProof/>
        <w:szCs w:val="16"/>
      </w:rPr>
      <w:t>1</w:t>
    </w:r>
    <w:r w:rsidR="003905FC" w:rsidRPr="0090659A">
      <w:rPr>
        <w:b/>
        <w:szCs w:val="16"/>
      </w:rPr>
      <w:fldChar w:fldCharType="end"/>
    </w:r>
    <w:r w:rsidRPr="0090659A">
      <w:rPr>
        <w:szCs w:val="16"/>
      </w:rPr>
      <w:t xml:space="preserve"> of </w:t>
    </w:r>
    <w:r w:rsidR="003905FC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="003905FC" w:rsidRPr="0090659A">
      <w:rPr>
        <w:b/>
        <w:szCs w:val="16"/>
      </w:rPr>
      <w:fldChar w:fldCharType="separate"/>
    </w:r>
    <w:r w:rsidR="00D70A34">
      <w:rPr>
        <w:b/>
        <w:noProof/>
        <w:szCs w:val="16"/>
      </w:rPr>
      <w:t>3</w:t>
    </w:r>
    <w:r w:rsidR="003905FC" w:rsidRPr="0090659A">
      <w:rPr>
        <w:b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E43" w:rsidRDefault="00866E43" w:rsidP="0090659A">
      <w:pPr>
        <w:spacing w:after="0" w:line="240" w:lineRule="auto"/>
      </w:pPr>
      <w:r>
        <w:separator/>
      </w:r>
    </w:p>
    <w:p w:rsidR="00866E43" w:rsidRDefault="00866E43"/>
    <w:p w:rsidR="00866E43" w:rsidRDefault="00866E43"/>
    <w:p w:rsidR="00866E43" w:rsidRDefault="00866E43"/>
    <w:p w:rsidR="00866E43" w:rsidRDefault="00866E43" w:rsidP="002C4639"/>
  </w:footnote>
  <w:footnote w:type="continuationSeparator" w:id="0">
    <w:p w:rsidR="00866E43" w:rsidRDefault="00866E43" w:rsidP="0090659A">
      <w:pPr>
        <w:spacing w:after="0" w:line="240" w:lineRule="auto"/>
      </w:pPr>
      <w:r>
        <w:continuationSeparator/>
      </w:r>
    </w:p>
    <w:p w:rsidR="00866E43" w:rsidRDefault="00866E43"/>
    <w:p w:rsidR="00866E43" w:rsidRDefault="00866E43"/>
    <w:p w:rsidR="00866E43" w:rsidRDefault="00866E43"/>
    <w:p w:rsidR="00866E43" w:rsidRDefault="00866E43" w:rsidP="002C4639"/>
  </w:footnote>
  <w:footnote w:type="continuationNotice" w:id="1">
    <w:p w:rsidR="00866E43" w:rsidRDefault="00866E43" w:rsidP="002C463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3E9" w:rsidRDefault="00EB1409" w:rsidP="00C52BA6">
    <w:pPr>
      <w:pStyle w:val="PageHead"/>
    </w:pPr>
    <w:r>
      <w:t xml:space="preserve">Packet Tracer </w:t>
    </w:r>
    <w:r w:rsidR="005300CC">
      <w:t>–</w:t>
    </w:r>
    <w:r w:rsidR="005719EA">
      <w:t xml:space="preserve"> IPv6 – Skills Integration Challenge</w:t>
    </w:r>
    <w:r w:rsidR="00C247FA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307" w:rsidRDefault="00866E4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50" type="#_x0000_t75" alt="Cisco NetAcad_Header(Vertical)-01" style="position:absolute;margin-left:-55.5pt;margin-top:-21.6pt;width:612.3pt;height:53.4pt;z-index:251657728;visibility:visible">
          <v:imagedata r:id="rId1" o:title="Cisco NetAcad_Header(Vertical)-01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C4ED8"/>
    <w:multiLevelType w:val="hybridMultilevel"/>
    <w:tmpl w:val="EB301B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17228C"/>
    <w:multiLevelType w:val="multilevel"/>
    <w:tmpl w:val="5218E3DA"/>
    <w:styleLink w:val="SectionList"/>
    <w:lvl w:ilvl="0">
      <w:start w:val="1"/>
      <w:numFmt w:val="none"/>
      <w:pStyle w:val="LabSectio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ReflectionQ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2F62C3A"/>
    <w:multiLevelType w:val="hybridMultilevel"/>
    <w:tmpl w:val="D8304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796360"/>
    <w:multiLevelType w:val="multilevel"/>
    <w:tmpl w:val="1258F7AC"/>
    <w:styleLink w:val="PartStepSubStepList"/>
    <w:lvl w:ilvl="0">
      <w:start w:val="1"/>
      <w:numFmt w:val="decimal"/>
      <w:pStyle w:val="PartHead"/>
      <w:lvlText w:val="Part %1: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tepHead"/>
      <w:lvlText w:val="Step %2: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lowerLetter"/>
      <w:pStyle w:val="SubStepAlpha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pStyle w:val="SubStepNum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21C77B78"/>
    <w:multiLevelType w:val="multilevel"/>
    <w:tmpl w:val="DB06027C"/>
    <w:lvl w:ilvl="0">
      <w:start w:val="1"/>
      <w:numFmt w:val="decimal"/>
      <w:lvlText w:val="Part %1: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-"/>
      <w:lvlJc w:val="left"/>
      <w:pPr>
        <w:tabs>
          <w:tab w:val="num" w:pos="1440"/>
        </w:tabs>
        <w:ind w:left="1440" w:hanging="288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5">
    <w:nsid w:val="27D834D1"/>
    <w:multiLevelType w:val="hybridMultilevel"/>
    <w:tmpl w:val="F76A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12822"/>
    <w:multiLevelType w:val="hybridMultilevel"/>
    <w:tmpl w:val="BD1A07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F6A35BF"/>
    <w:multiLevelType w:val="hybridMultilevel"/>
    <w:tmpl w:val="5B0EB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F23836"/>
    <w:multiLevelType w:val="multilevel"/>
    <w:tmpl w:val="341ECD14"/>
    <w:styleLink w:val="BulletList"/>
    <w:lvl w:ilvl="0">
      <w:start w:val="1"/>
      <w:numFmt w:val="bullet"/>
      <w:pStyle w:val="Bullet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pStyle w:val="Bulletlevel2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9">
    <w:nsid w:val="4C924F36"/>
    <w:multiLevelType w:val="hybridMultilevel"/>
    <w:tmpl w:val="3EA6D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6E125E"/>
    <w:multiLevelType w:val="hybridMultilevel"/>
    <w:tmpl w:val="B3101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A26908"/>
    <w:multiLevelType w:val="hybridMultilevel"/>
    <w:tmpl w:val="67722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2E4B15"/>
    <w:multiLevelType w:val="hybridMultilevel"/>
    <w:tmpl w:val="2D9E5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245740"/>
    <w:multiLevelType w:val="hybridMultilevel"/>
    <w:tmpl w:val="FFDA00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3B66678"/>
    <w:multiLevelType w:val="hybridMultilevel"/>
    <w:tmpl w:val="8F3A3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DB30521"/>
    <w:multiLevelType w:val="hybridMultilevel"/>
    <w:tmpl w:val="E2AEC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5F5C65"/>
    <w:multiLevelType w:val="hybridMultilevel"/>
    <w:tmpl w:val="078852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  <w:lvlOverride w:ilvl="0">
      <w:lvl w:ilvl="0">
        <w:start w:val="1"/>
        <w:numFmt w:val="decimal"/>
        <w:lvlText w:val="Part %1:"/>
        <w:lvlJc w:val="left"/>
        <w:pPr>
          <w:tabs>
            <w:tab w:val="num" w:pos="1152"/>
          </w:tabs>
          <w:ind w:left="1152" w:hanging="792"/>
        </w:pPr>
        <w:rPr>
          <w:rFonts w:hint="default"/>
        </w:rPr>
      </w:lvl>
    </w:lvlOverride>
  </w:num>
  <w:num w:numId="4">
    <w:abstractNumId w:val="1"/>
  </w:num>
  <w:num w:numId="5">
    <w:abstractNumId w:val="16"/>
  </w:num>
  <w:num w:numId="6">
    <w:abstractNumId w:val="1"/>
  </w:num>
  <w:num w:numId="7">
    <w:abstractNumId w:val="1"/>
  </w:num>
  <w:num w:numId="8">
    <w:abstractNumId w:val="15"/>
  </w:num>
  <w:num w:numId="9">
    <w:abstractNumId w:val="2"/>
  </w:num>
  <w:num w:numId="10">
    <w:abstractNumId w:val="5"/>
  </w:num>
  <w:num w:numId="11">
    <w:abstractNumId w:val="12"/>
  </w:num>
  <w:num w:numId="12">
    <w:abstractNumId w:val="0"/>
  </w:num>
  <w:num w:numId="13">
    <w:abstractNumId w:val="14"/>
  </w:num>
  <w:num w:numId="14">
    <w:abstractNumId w:val="13"/>
  </w:num>
  <w:num w:numId="15">
    <w:abstractNumId w:val="7"/>
  </w:num>
  <w:num w:numId="16">
    <w:abstractNumId w:val="11"/>
  </w:num>
  <w:num w:numId="17">
    <w:abstractNumId w:val="10"/>
  </w:num>
  <w:num w:numId="18">
    <w:abstractNumId w:val="9"/>
  </w:num>
  <w:num w:numId="19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NotTrackMoves/>
  <w:defaultTabStop w:val="720"/>
  <w:defaultTableStyle w:val="LabTableStyle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A5BC5"/>
    <w:rsid w:val="000025D7"/>
    <w:rsid w:val="00004175"/>
    <w:rsid w:val="00005935"/>
    <w:rsid w:val="000059C9"/>
    <w:rsid w:val="00010EAB"/>
    <w:rsid w:val="0001185F"/>
    <w:rsid w:val="00013DF7"/>
    <w:rsid w:val="00014791"/>
    <w:rsid w:val="00015081"/>
    <w:rsid w:val="000160F7"/>
    <w:rsid w:val="00016D5B"/>
    <w:rsid w:val="00016F30"/>
    <w:rsid w:val="0002047C"/>
    <w:rsid w:val="00021170"/>
    <w:rsid w:val="00021967"/>
    <w:rsid w:val="00021B9A"/>
    <w:rsid w:val="000241B0"/>
    <w:rsid w:val="000242D6"/>
    <w:rsid w:val="00024CBD"/>
    <w:rsid w:val="00024EE5"/>
    <w:rsid w:val="00025034"/>
    <w:rsid w:val="00026A9E"/>
    <w:rsid w:val="00026C69"/>
    <w:rsid w:val="00030417"/>
    <w:rsid w:val="00030504"/>
    <w:rsid w:val="00030B0C"/>
    <w:rsid w:val="00030B1D"/>
    <w:rsid w:val="00030DEE"/>
    <w:rsid w:val="00031068"/>
    <w:rsid w:val="000343E8"/>
    <w:rsid w:val="00034C33"/>
    <w:rsid w:val="00041AF6"/>
    <w:rsid w:val="0004258A"/>
    <w:rsid w:val="000444FA"/>
    <w:rsid w:val="00044E62"/>
    <w:rsid w:val="00050BA4"/>
    <w:rsid w:val="00051629"/>
    <w:rsid w:val="00051738"/>
    <w:rsid w:val="0005221B"/>
    <w:rsid w:val="00052548"/>
    <w:rsid w:val="00055EB9"/>
    <w:rsid w:val="0005613A"/>
    <w:rsid w:val="000569E0"/>
    <w:rsid w:val="00060696"/>
    <w:rsid w:val="00062916"/>
    <w:rsid w:val="00063200"/>
    <w:rsid w:val="00063F07"/>
    <w:rsid w:val="000644AA"/>
    <w:rsid w:val="000749DD"/>
    <w:rsid w:val="000769CF"/>
    <w:rsid w:val="00077C46"/>
    <w:rsid w:val="000815D8"/>
    <w:rsid w:val="00085CC6"/>
    <w:rsid w:val="00090C07"/>
    <w:rsid w:val="00091E8D"/>
    <w:rsid w:val="00092480"/>
    <w:rsid w:val="00093739"/>
    <w:rsid w:val="0009378D"/>
    <w:rsid w:val="00095FB0"/>
    <w:rsid w:val="00096BDE"/>
    <w:rsid w:val="00097163"/>
    <w:rsid w:val="000A1577"/>
    <w:rsid w:val="000A22C8"/>
    <w:rsid w:val="000B2344"/>
    <w:rsid w:val="000B4582"/>
    <w:rsid w:val="000B4C62"/>
    <w:rsid w:val="000B7DE5"/>
    <w:rsid w:val="000C269A"/>
    <w:rsid w:val="000C2E67"/>
    <w:rsid w:val="000C390B"/>
    <w:rsid w:val="000C47DF"/>
    <w:rsid w:val="000C576A"/>
    <w:rsid w:val="000C626C"/>
    <w:rsid w:val="000D1527"/>
    <w:rsid w:val="000D1E02"/>
    <w:rsid w:val="000D3E46"/>
    <w:rsid w:val="000D4D60"/>
    <w:rsid w:val="000D4D68"/>
    <w:rsid w:val="000D55B4"/>
    <w:rsid w:val="000E0B20"/>
    <w:rsid w:val="000E0FF7"/>
    <w:rsid w:val="000E5B45"/>
    <w:rsid w:val="000E65F0"/>
    <w:rsid w:val="000E78B5"/>
    <w:rsid w:val="000F072C"/>
    <w:rsid w:val="000F17F8"/>
    <w:rsid w:val="000F43C2"/>
    <w:rsid w:val="000F6743"/>
    <w:rsid w:val="000F7B30"/>
    <w:rsid w:val="00100822"/>
    <w:rsid w:val="0010718D"/>
    <w:rsid w:val="00107B2B"/>
    <w:rsid w:val="001104F3"/>
    <w:rsid w:val="00110D7E"/>
    <w:rsid w:val="00112AC5"/>
    <w:rsid w:val="001131E0"/>
    <w:rsid w:val="001133DD"/>
    <w:rsid w:val="00115183"/>
    <w:rsid w:val="00116EB5"/>
    <w:rsid w:val="00120CBE"/>
    <w:rsid w:val="00121A6A"/>
    <w:rsid w:val="00124B83"/>
    <w:rsid w:val="00127DB7"/>
    <w:rsid w:val="00134862"/>
    <w:rsid w:val="00136639"/>
    <w:rsid w:val="001366EC"/>
    <w:rsid w:val="0014103D"/>
    <w:rsid w:val="0014219C"/>
    <w:rsid w:val="001425ED"/>
    <w:rsid w:val="00143B99"/>
    <w:rsid w:val="00150220"/>
    <w:rsid w:val="00152ACC"/>
    <w:rsid w:val="001533B0"/>
    <w:rsid w:val="00154E3A"/>
    <w:rsid w:val="00155115"/>
    <w:rsid w:val="0015587D"/>
    <w:rsid w:val="001574F3"/>
    <w:rsid w:val="00160EEF"/>
    <w:rsid w:val="00163164"/>
    <w:rsid w:val="00166D3B"/>
    <w:rsid w:val="001710C0"/>
    <w:rsid w:val="00172AFB"/>
    <w:rsid w:val="0017458C"/>
    <w:rsid w:val="001749E0"/>
    <w:rsid w:val="00175AF0"/>
    <w:rsid w:val="001772B8"/>
    <w:rsid w:val="00180FBF"/>
    <w:rsid w:val="00182565"/>
    <w:rsid w:val="00182CF4"/>
    <w:rsid w:val="00186CE1"/>
    <w:rsid w:val="0018759B"/>
    <w:rsid w:val="00187FC4"/>
    <w:rsid w:val="00192F12"/>
    <w:rsid w:val="00193F14"/>
    <w:rsid w:val="0019477F"/>
    <w:rsid w:val="00197614"/>
    <w:rsid w:val="001A0312"/>
    <w:rsid w:val="001A15DA"/>
    <w:rsid w:val="001A2694"/>
    <w:rsid w:val="001A289B"/>
    <w:rsid w:val="001A3CC7"/>
    <w:rsid w:val="001A5D59"/>
    <w:rsid w:val="001A69AC"/>
    <w:rsid w:val="001B67D8"/>
    <w:rsid w:val="001B6F95"/>
    <w:rsid w:val="001B7ACD"/>
    <w:rsid w:val="001C05A1"/>
    <w:rsid w:val="001C1002"/>
    <w:rsid w:val="001C1295"/>
    <w:rsid w:val="001C1D9E"/>
    <w:rsid w:val="001C362A"/>
    <w:rsid w:val="001C7C3B"/>
    <w:rsid w:val="001D398C"/>
    <w:rsid w:val="001D4BA7"/>
    <w:rsid w:val="001D5B6F"/>
    <w:rsid w:val="001D5EDE"/>
    <w:rsid w:val="001E0AB8"/>
    <w:rsid w:val="001E1783"/>
    <w:rsid w:val="001E3232"/>
    <w:rsid w:val="001E38E0"/>
    <w:rsid w:val="001E48CB"/>
    <w:rsid w:val="001E4E72"/>
    <w:rsid w:val="001E5E7B"/>
    <w:rsid w:val="001E62B3"/>
    <w:rsid w:val="001E7500"/>
    <w:rsid w:val="001F0171"/>
    <w:rsid w:val="001F0431"/>
    <w:rsid w:val="001F0D77"/>
    <w:rsid w:val="001F5233"/>
    <w:rsid w:val="001F5361"/>
    <w:rsid w:val="001F7D26"/>
    <w:rsid w:val="001F7DD8"/>
    <w:rsid w:val="00201825"/>
    <w:rsid w:val="00201928"/>
    <w:rsid w:val="002023F4"/>
    <w:rsid w:val="00203C93"/>
    <w:rsid w:val="00203E26"/>
    <w:rsid w:val="00204280"/>
    <w:rsid w:val="0020449C"/>
    <w:rsid w:val="00205B17"/>
    <w:rsid w:val="00210326"/>
    <w:rsid w:val="002113B8"/>
    <w:rsid w:val="00214B0D"/>
    <w:rsid w:val="00215665"/>
    <w:rsid w:val="002167CC"/>
    <w:rsid w:val="00216EE7"/>
    <w:rsid w:val="00217678"/>
    <w:rsid w:val="0021792C"/>
    <w:rsid w:val="00222E43"/>
    <w:rsid w:val="00223444"/>
    <w:rsid w:val="002240AB"/>
    <w:rsid w:val="00225E37"/>
    <w:rsid w:val="002260D2"/>
    <w:rsid w:val="00235010"/>
    <w:rsid w:val="00235DEE"/>
    <w:rsid w:val="00241251"/>
    <w:rsid w:val="00242E3A"/>
    <w:rsid w:val="002506CF"/>
    <w:rsid w:val="0025107F"/>
    <w:rsid w:val="00260CD4"/>
    <w:rsid w:val="002629D4"/>
    <w:rsid w:val="002639D8"/>
    <w:rsid w:val="00263F1A"/>
    <w:rsid w:val="00265F77"/>
    <w:rsid w:val="00266C83"/>
    <w:rsid w:val="002673A5"/>
    <w:rsid w:val="00267CE6"/>
    <w:rsid w:val="0027001D"/>
    <w:rsid w:val="00270794"/>
    <w:rsid w:val="00274045"/>
    <w:rsid w:val="0027458B"/>
    <w:rsid w:val="00275787"/>
    <w:rsid w:val="002768DC"/>
    <w:rsid w:val="00277C36"/>
    <w:rsid w:val="00277EA5"/>
    <w:rsid w:val="002815E8"/>
    <w:rsid w:val="0028207D"/>
    <w:rsid w:val="00285164"/>
    <w:rsid w:val="002855AC"/>
    <w:rsid w:val="002863EF"/>
    <w:rsid w:val="0029047A"/>
    <w:rsid w:val="00290A47"/>
    <w:rsid w:val="00290E8A"/>
    <w:rsid w:val="002A265F"/>
    <w:rsid w:val="002A2BBD"/>
    <w:rsid w:val="002A4356"/>
    <w:rsid w:val="002A5D2C"/>
    <w:rsid w:val="002A6C56"/>
    <w:rsid w:val="002B1EAE"/>
    <w:rsid w:val="002B3BF8"/>
    <w:rsid w:val="002C090C"/>
    <w:rsid w:val="002C1243"/>
    <w:rsid w:val="002C1815"/>
    <w:rsid w:val="002C1A4C"/>
    <w:rsid w:val="002C27F4"/>
    <w:rsid w:val="002C31DD"/>
    <w:rsid w:val="002C3579"/>
    <w:rsid w:val="002C4639"/>
    <w:rsid w:val="002C475E"/>
    <w:rsid w:val="002C6AD6"/>
    <w:rsid w:val="002D0A19"/>
    <w:rsid w:val="002D102C"/>
    <w:rsid w:val="002D4DEA"/>
    <w:rsid w:val="002D6C2A"/>
    <w:rsid w:val="002D6FB8"/>
    <w:rsid w:val="002D7633"/>
    <w:rsid w:val="002D7A86"/>
    <w:rsid w:val="002E1692"/>
    <w:rsid w:val="002E6887"/>
    <w:rsid w:val="002E6FCE"/>
    <w:rsid w:val="002E73F8"/>
    <w:rsid w:val="002F45FF"/>
    <w:rsid w:val="002F52BB"/>
    <w:rsid w:val="002F6D17"/>
    <w:rsid w:val="002F6D6A"/>
    <w:rsid w:val="002F7D90"/>
    <w:rsid w:val="003009B1"/>
    <w:rsid w:val="00302887"/>
    <w:rsid w:val="0030303F"/>
    <w:rsid w:val="00304DB3"/>
    <w:rsid w:val="00304E91"/>
    <w:rsid w:val="003056EB"/>
    <w:rsid w:val="00305AA5"/>
    <w:rsid w:val="00306077"/>
    <w:rsid w:val="0030655E"/>
    <w:rsid w:val="003071FF"/>
    <w:rsid w:val="00310652"/>
    <w:rsid w:val="00311165"/>
    <w:rsid w:val="0031371D"/>
    <w:rsid w:val="0031789F"/>
    <w:rsid w:val="003203E5"/>
    <w:rsid w:val="00320788"/>
    <w:rsid w:val="0032157C"/>
    <w:rsid w:val="003233A3"/>
    <w:rsid w:val="0032606E"/>
    <w:rsid w:val="00327904"/>
    <w:rsid w:val="00332A07"/>
    <w:rsid w:val="00332C20"/>
    <w:rsid w:val="0033619B"/>
    <w:rsid w:val="0034455D"/>
    <w:rsid w:val="00345D4D"/>
    <w:rsid w:val="0034604B"/>
    <w:rsid w:val="00346D17"/>
    <w:rsid w:val="00347972"/>
    <w:rsid w:val="0035018F"/>
    <w:rsid w:val="003506A1"/>
    <w:rsid w:val="00353E58"/>
    <w:rsid w:val="00354438"/>
    <w:rsid w:val="003559CC"/>
    <w:rsid w:val="003569D7"/>
    <w:rsid w:val="00356EAE"/>
    <w:rsid w:val="003607B3"/>
    <w:rsid w:val="003608AC"/>
    <w:rsid w:val="003643FD"/>
    <w:rsid w:val="0036465A"/>
    <w:rsid w:val="00365DB5"/>
    <w:rsid w:val="0036631A"/>
    <w:rsid w:val="0036653F"/>
    <w:rsid w:val="003703ED"/>
    <w:rsid w:val="00380456"/>
    <w:rsid w:val="0038266E"/>
    <w:rsid w:val="00383FE5"/>
    <w:rsid w:val="003905FC"/>
    <w:rsid w:val="00392C65"/>
    <w:rsid w:val="00392ED5"/>
    <w:rsid w:val="00393F64"/>
    <w:rsid w:val="003975E1"/>
    <w:rsid w:val="003A0C10"/>
    <w:rsid w:val="003A19DC"/>
    <w:rsid w:val="003A1B45"/>
    <w:rsid w:val="003A4625"/>
    <w:rsid w:val="003B0C08"/>
    <w:rsid w:val="003B0F48"/>
    <w:rsid w:val="003B1D50"/>
    <w:rsid w:val="003B46FC"/>
    <w:rsid w:val="003B5767"/>
    <w:rsid w:val="003B7605"/>
    <w:rsid w:val="003C1D0A"/>
    <w:rsid w:val="003C4066"/>
    <w:rsid w:val="003C5436"/>
    <w:rsid w:val="003C5C54"/>
    <w:rsid w:val="003C6720"/>
    <w:rsid w:val="003C6BCA"/>
    <w:rsid w:val="003C7902"/>
    <w:rsid w:val="003D0BFF"/>
    <w:rsid w:val="003D2AD6"/>
    <w:rsid w:val="003D5589"/>
    <w:rsid w:val="003D6634"/>
    <w:rsid w:val="003E3530"/>
    <w:rsid w:val="003E5BE5"/>
    <w:rsid w:val="003E5D4F"/>
    <w:rsid w:val="003F0644"/>
    <w:rsid w:val="003F18D1"/>
    <w:rsid w:val="003F32E7"/>
    <w:rsid w:val="003F4F0E"/>
    <w:rsid w:val="003F6369"/>
    <w:rsid w:val="003F6AA0"/>
    <w:rsid w:val="003F6E06"/>
    <w:rsid w:val="003F7F2C"/>
    <w:rsid w:val="00400055"/>
    <w:rsid w:val="004003E9"/>
    <w:rsid w:val="00401AC8"/>
    <w:rsid w:val="00402424"/>
    <w:rsid w:val="00403C7A"/>
    <w:rsid w:val="00403FBF"/>
    <w:rsid w:val="00404601"/>
    <w:rsid w:val="004057A6"/>
    <w:rsid w:val="00405F27"/>
    <w:rsid w:val="004064F8"/>
    <w:rsid w:val="00406554"/>
    <w:rsid w:val="004131B0"/>
    <w:rsid w:val="004150E5"/>
    <w:rsid w:val="00416C42"/>
    <w:rsid w:val="00416E5F"/>
    <w:rsid w:val="004201C9"/>
    <w:rsid w:val="00420C00"/>
    <w:rsid w:val="004214E6"/>
    <w:rsid w:val="00421CC8"/>
    <w:rsid w:val="00422476"/>
    <w:rsid w:val="00422BD7"/>
    <w:rsid w:val="0042385C"/>
    <w:rsid w:val="00426A6D"/>
    <w:rsid w:val="004278B0"/>
    <w:rsid w:val="00430B5D"/>
    <w:rsid w:val="00431654"/>
    <w:rsid w:val="00433736"/>
    <w:rsid w:val="00434926"/>
    <w:rsid w:val="00444217"/>
    <w:rsid w:val="004478F4"/>
    <w:rsid w:val="00450F7A"/>
    <w:rsid w:val="00452663"/>
    <w:rsid w:val="00452C6D"/>
    <w:rsid w:val="00455E0B"/>
    <w:rsid w:val="00460E24"/>
    <w:rsid w:val="00462B12"/>
    <w:rsid w:val="00463AF1"/>
    <w:rsid w:val="0046412D"/>
    <w:rsid w:val="004659EE"/>
    <w:rsid w:val="00473DCE"/>
    <w:rsid w:val="00476E6B"/>
    <w:rsid w:val="004824FD"/>
    <w:rsid w:val="004936C2"/>
    <w:rsid w:val="0049379C"/>
    <w:rsid w:val="00493C0E"/>
    <w:rsid w:val="0049467C"/>
    <w:rsid w:val="00494965"/>
    <w:rsid w:val="004A0507"/>
    <w:rsid w:val="004A1CA0"/>
    <w:rsid w:val="004A22E9"/>
    <w:rsid w:val="004A2A83"/>
    <w:rsid w:val="004A5BC5"/>
    <w:rsid w:val="004A6894"/>
    <w:rsid w:val="004B023D"/>
    <w:rsid w:val="004C0909"/>
    <w:rsid w:val="004C2A76"/>
    <w:rsid w:val="004C3F97"/>
    <w:rsid w:val="004C5B44"/>
    <w:rsid w:val="004C6158"/>
    <w:rsid w:val="004C64C1"/>
    <w:rsid w:val="004C75E9"/>
    <w:rsid w:val="004C7B05"/>
    <w:rsid w:val="004D3339"/>
    <w:rsid w:val="004D353F"/>
    <w:rsid w:val="004D36D7"/>
    <w:rsid w:val="004D682B"/>
    <w:rsid w:val="004D6CEA"/>
    <w:rsid w:val="004E1E72"/>
    <w:rsid w:val="004E6152"/>
    <w:rsid w:val="004F12FE"/>
    <w:rsid w:val="004F2951"/>
    <w:rsid w:val="004F344A"/>
    <w:rsid w:val="004F7483"/>
    <w:rsid w:val="0050124E"/>
    <w:rsid w:val="00504AAB"/>
    <w:rsid w:val="00506582"/>
    <w:rsid w:val="00510639"/>
    <w:rsid w:val="005118F0"/>
    <w:rsid w:val="00512B8A"/>
    <w:rsid w:val="00514E1A"/>
    <w:rsid w:val="00515185"/>
    <w:rsid w:val="00516142"/>
    <w:rsid w:val="0051636C"/>
    <w:rsid w:val="00520027"/>
    <w:rsid w:val="00520642"/>
    <w:rsid w:val="0052093C"/>
    <w:rsid w:val="00520E26"/>
    <w:rsid w:val="0052131F"/>
    <w:rsid w:val="00521B31"/>
    <w:rsid w:val="00522469"/>
    <w:rsid w:val="0052400A"/>
    <w:rsid w:val="00526750"/>
    <w:rsid w:val="005300BC"/>
    <w:rsid w:val="005300CC"/>
    <w:rsid w:val="005314CC"/>
    <w:rsid w:val="00536F43"/>
    <w:rsid w:val="0054058C"/>
    <w:rsid w:val="005510BA"/>
    <w:rsid w:val="00554B4E"/>
    <w:rsid w:val="00556C02"/>
    <w:rsid w:val="005613E9"/>
    <w:rsid w:val="00562945"/>
    <w:rsid w:val="00563249"/>
    <w:rsid w:val="00567EFF"/>
    <w:rsid w:val="00570A65"/>
    <w:rsid w:val="0057123D"/>
    <w:rsid w:val="005719EA"/>
    <w:rsid w:val="00571B57"/>
    <w:rsid w:val="00572D6D"/>
    <w:rsid w:val="00573520"/>
    <w:rsid w:val="005759A9"/>
    <w:rsid w:val="005762B1"/>
    <w:rsid w:val="00576E7B"/>
    <w:rsid w:val="00580456"/>
    <w:rsid w:val="00580E73"/>
    <w:rsid w:val="00585091"/>
    <w:rsid w:val="00586007"/>
    <w:rsid w:val="00586525"/>
    <w:rsid w:val="0059085C"/>
    <w:rsid w:val="00591D99"/>
    <w:rsid w:val="00593386"/>
    <w:rsid w:val="00595BFE"/>
    <w:rsid w:val="0059603A"/>
    <w:rsid w:val="00596998"/>
    <w:rsid w:val="005A2778"/>
    <w:rsid w:val="005A32BB"/>
    <w:rsid w:val="005A63A0"/>
    <w:rsid w:val="005A6AB3"/>
    <w:rsid w:val="005A6B7A"/>
    <w:rsid w:val="005A6E62"/>
    <w:rsid w:val="005A7156"/>
    <w:rsid w:val="005A7580"/>
    <w:rsid w:val="005B01BB"/>
    <w:rsid w:val="005B29AC"/>
    <w:rsid w:val="005B52C9"/>
    <w:rsid w:val="005B6140"/>
    <w:rsid w:val="005C085E"/>
    <w:rsid w:val="005C52C3"/>
    <w:rsid w:val="005C5B50"/>
    <w:rsid w:val="005D2B29"/>
    <w:rsid w:val="005D354A"/>
    <w:rsid w:val="005D7149"/>
    <w:rsid w:val="005D74A0"/>
    <w:rsid w:val="005D7BCA"/>
    <w:rsid w:val="005E3235"/>
    <w:rsid w:val="005E4176"/>
    <w:rsid w:val="005E65B5"/>
    <w:rsid w:val="005E6DC5"/>
    <w:rsid w:val="005E7FEE"/>
    <w:rsid w:val="005F1CE7"/>
    <w:rsid w:val="005F3AE9"/>
    <w:rsid w:val="006007BB"/>
    <w:rsid w:val="00601DC0"/>
    <w:rsid w:val="006034CB"/>
    <w:rsid w:val="006038AF"/>
    <w:rsid w:val="00604C4D"/>
    <w:rsid w:val="006069DA"/>
    <w:rsid w:val="00607E6A"/>
    <w:rsid w:val="00611B6F"/>
    <w:rsid w:val="006131CE"/>
    <w:rsid w:val="00615297"/>
    <w:rsid w:val="0061543C"/>
    <w:rsid w:val="0061572C"/>
    <w:rsid w:val="00617381"/>
    <w:rsid w:val="00617D6E"/>
    <w:rsid w:val="0062060A"/>
    <w:rsid w:val="00622ABC"/>
    <w:rsid w:val="00622D61"/>
    <w:rsid w:val="00624198"/>
    <w:rsid w:val="00630129"/>
    <w:rsid w:val="00633313"/>
    <w:rsid w:val="0063528C"/>
    <w:rsid w:val="006378AE"/>
    <w:rsid w:val="00637B57"/>
    <w:rsid w:val="0064066C"/>
    <w:rsid w:val="00641E78"/>
    <w:rsid w:val="006424B4"/>
    <w:rsid w:val="006428E5"/>
    <w:rsid w:val="00643BA5"/>
    <w:rsid w:val="00643E90"/>
    <w:rsid w:val="00644958"/>
    <w:rsid w:val="00645C65"/>
    <w:rsid w:val="006518B6"/>
    <w:rsid w:val="00652A40"/>
    <w:rsid w:val="0065344D"/>
    <w:rsid w:val="00665854"/>
    <w:rsid w:val="00670FF7"/>
    <w:rsid w:val="006714F7"/>
    <w:rsid w:val="006718DE"/>
    <w:rsid w:val="00672919"/>
    <w:rsid w:val="006773E4"/>
    <w:rsid w:val="00683D15"/>
    <w:rsid w:val="00686587"/>
    <w:rsid w:val="006879D4"/>
    <w:rsid w:val="0069025E"/>
    <w:rsid w:val="006904CF"/>
    <w:rsid w:val="00692F77"/>
    <w:rsid w:val="0069369A"/>
    <w:rsid w:val="00695EE2"/>
    <w:rsid w:val="0069660B"/>
    <w:rsid w:val="006967FB"/>
    <w:rsid w:val="006A084C"/>
    <w:rsid w:val="006A0BBE"/>
    <w:rsid w:val="006A1B33"/>
    <w:rsid w:val="006A24BD"/>
    <w:rsid w:val="006A4487"/>
    <w:rsid w:val="006A48F1"/>
    <w:rsid w:val="006A71A3"/>
    <w:rsid w:val="006A753C"/>
    <w:rsid w:val="006B03F2"/>
    <w:rsid w:val="006B1639"/>
    <w:rsid w:val="006B2297"/>
    <w:rsid w:val="006B2E29"/>
    <w:rsid w:val="006B5CA7"/>
    <w:rsid w:val="006B5E89"/>
    <w:rsid w:val="006C19B2"/>
    <w:rsid w:val="006C2F7B"/>
    <w:rsid w:val="006C30A0"/>
    <w:rsid w:val="006C35FF"/>
    <w:rsid w:val="006C57F2"/>
    <w:rsid w:val="006C5949"/>
    <w:rsid w:val="006C6832"/>
    <w:rsid w:val="006C6CAD"/>
    <w:rsid w:val="006C7968"/>
    <w:rsid w:val="006D0EE0"/>
    <w:rsid w:val="006D1370"/>
    <w:rsid w:val="006D22C2"/>
    <w:rsid w:val="006D2C28"/>
    <w:rsid w:val="006D2F34"/>
    <w:rsid w:val="006D3FC1"/>
    <w:rsid w:val="006D6824"/>
    <w:rsid w:val="006D7868"/>
    <w:rsid w:val="006D7F8A"/>
    <w:rsid w:val="006E2602"/>
    <w:rsid w:val="006E6581"/>
    <w:rsid w:val="006E71DF"/>
    <w:rsid w:val="006E7987"/>
    <w:rsid w:val="006E7D38"/>
    <w:rsid w:val="006F1CC4"/>
    <w:rsid w:val="006F2A86"/>
    <w:rsid w:val="006F3153"/>
    <w:rsid w:val="006F3163"/>
    <w:rsid w:val="007005E6"/>
    <w:rsid w:val="00702474"/>
    <w:rsid w:val="00705670"/>
    <w:rsid w:val="00705FEC"/>
    <w:rsid w:val="00706FEA"/>
    <w:rsid w:val="0071147A"/>
    <w:rsid w:val="0071185D"/>
    <w:rsid w:val="007160D2"/>
    <w:rsid w:val="007163A9"/>
    <w:rsid w:val="00717BA5"/>
    <w:rsid w:val="00720396"/>
    <w:rsid w:val="0072082E"/>
    <w:rsid w:val="00721055"/>
    <w:rsid w:val="007222AD"/>
    <w:rsid w:val="0072360C"/>
    <w:rsid w:val="00724CDA"/>
    <w:rsid w:val="007267CF"/>
    <w:rsid w:val="00730F0A"/>
    <w:rsid w:val="00731F3F"/>
    <w:rsid w:val="00732F2D"/>
    <w:rsid w:val="00733BAB"/>
    <w:rsid w:val="00735201"/>
    <w:rsid w:val="00742010"/>
    <w:rsid w:val="007428CE"/>
    <w:rsid w:val="007436BF"/>
    <w:rsid w:val="007443E9"/>
    <w:rsid w:val="00745DCE"/>
    <w:rsid w:val="0075022D"/>
    <w:rsid w:val="00751B1E"/>
    <w:rsid w:val="007527D7"/>
    <w:rsid w:val="00753D89"/>
    <w:rsid w:val="00755C9B"/>
    <w:rsid w:val="00755F4D"/>
    <w:rsid w:val="00760FE4"/>
    <w:rsid w:val="00761CBB"/>
    <w:rsid w:val="00763D8B"/>
    <w:rsid w:val="007657F6"/>
    <w:rsid w:val="0077125A"/>
    <w:rsid w:val="00781451"/>
    <w:rsid w:val="007819F6"/>
    <w:rsid w:val="00781C64"/>
    <w:rsid w:val="00782E46"/>
    <w:rsid w:val="00783680"/>
    <w:rsid w:val="007843F4"/>
    <w:rsid w:val="0078460A"/>
    <w:rsid w:val="00785C00"/>
    <w:rsid w:val="007863B0"/>
    <w:rsid w:val="00786F58"/>
    <w:rsid w:val="00787146"/>
    <w:rsid w:val="00787CC1"/>
    <w:rsid w:val="0079239F"/>
    <w:rsid w:val="00792F4E"/>
    <w:rsid w:val="0079398D"/>
    <w:rsid w:val="00794CA8"/>
    <w:rsid w:val="00794DFD"/>
    <w:rsid w:val="00796C25"/>
    <w:rsid w:val="007A114D"/>
    <w:rsid w:val="007A2114"/>
    <w:rsid w:val="007A287C"/>
    <w:rsid w:val="007A3B2A"/>
    <w:rsid w:val="007B1AF0"/>
    <w:rsid w:val="007B1F84"/>
    <w:rsid w:val="007B32FE"/>
    <w:rsid w:val="007B5522"/>
    <w:rsid w:val="007C0EE0"/>
    <w:rsid w:val="007C1B71"/>
    <w:rsid w:val="007C2FBB"/>
    <w:rsid w:val="007C7164"/>
    <w:rsid w:val="007D129F"/>
    <w:rsid w:val="007D13FD"/>
    <w:rsid w:val="007D1984"/>
    <w:rsid w:val="007D2AFE"/>
    <w:rsid w:val="007E3FEA"/>
    <w:rsid w:val="007E64D9"/>
    <w:rsid w:val="007E75E0"/>
    <w:rsid w:val="007F0362"/>
    <w:rsid w:val="007F0A0B"/>
    <w:rsid w:val="007F23EA"/>
    <w:rsid w:val="007F3A60"/>
    <w:rsid w:val="007F3D0B"/>
    <w:rsid w:val="007F7C94"/>
    <w:rsid w:val="00803953"/>
    <w:rsid w:val="008050C8"/>
    <w:rsid w:val="00805490"/>
    <w:rsid w:val="00807E95"/>
    <w:rsid w:val="00810E4B"/>
    <w:rsid w:val="00812833"/>
    <w:rsid w:val="00813EC4"/>
    <w:rsid w:val="00814BAA"/>
    <w:rsid w:val="008216DB"/>
    <w:rsid w:val="00823A69"/>
    <w:rsid w:val="00824295"/>
    <w:rsid w:val="00830305"/>
    <w:rsid w:val="008313F3"/>
    <w:rsid w:val="008315A9"/>
    <w:rsid w:val="00831995"/>
    <w:rsid w:val="00832C08"/>
    <w:rsid w:val="00835F2F"/>
    <w:rsid w:val="008405BB"/>
    <w:rsid w:val="00845E7E"/>
    <w:rsid w:val="008460EE"/>
    <w:rsid w:val="00846494"/>
    <w:rsid w:val="00847B20"/>
    <w:rsid w:val="008509D3"/>
    <w:rsid w:val="00851690"/>
    <w:rsid w:val="00853418"/>
    <w:rsid w:val="00855EB9"/>
    <w:rsid w:val="00857CF6"/>
    <w:rsid w:val="008610ED"/>
    <w:rsid w:val="00861C6A"/>
    <w:rsid w:val="00863689"/>
    <w:rsid w:val="00865199"/>
    <w:rsid w:val="00865315"/>
    <w:rsid w:val="00866E43"/>
    <w:rsid w:val="00867EAF"/>
    <w:rsid w:val="00870B23"/>
    <w:rsid w:val="00873C6B"/>
    <w:rsid w:val="008742DC"/>
    <w:rsid w:val="00877E95"/>
    <w:rsid w:val="008803F3"/>
    <w:rsid w:val="00881A3E"/>
    <w:rsid w:val="008821BE"/>
    <w:rsid w:val="008827A0"/>
    <w:rsid w:val="00883B9B"/>
    <w:rsid w:val="0088426A"/>
    <w:rsid w:val="00886984"/>
    <w:rsid w:val="00886C7C"/>
    <w:rsid w:val="00887666"/>
    <w:rsid w:val="00890108"/>
    <w:rsid w:val="00890ED0"/>
    <w:rsid w:val="00893689"/>
    <w:rsid w:val="00893877"/>
    <w:rsid w:val="0089532C"/>
    <w:rsid w:val="00896681"/>
    <w:rsid w:val="00897896"/>
    <w:rsid w:val="008A0C51"/>
    <w:rsid w:val="008A2749"/>
    <w:rsid w:val="008A3A90"/>
    <w:rsid w:val="008B03DC"/>
    <w:rsid w:val="008B06D4"/>
    <w:rsid w:val="008B4141"/>
    <w:rsid w:val="008B4F20"/>
    <w:rsid w:val="008B7FFD"/>
    <w:rsid w:val="008C103F"/>
    <w:rsid w:val="008C2920"/>
    <w:rsid w:val="008C3BEA"/>
    <w:rsid w:val="008C4307"/>
    <w:rsid w:val="008C4D1D"/>
    <w:rsid w:val="008C6768"/>
    <w:rsid w:val="008D23DF"/>
    <w:rsid w:val="008D2933"/>
    <w:rsid w:val="008D3666"/>
    <w:rsid w:val="008D57D1"/>
    <w:rsid w:val="008D73BF"/>
    <w:rsid w:val="008D7F09"/>
    <w:rsid w:val="008E089F"/>
    <w:rsid w:val="008E13B0"/>
    <w:rsid w:val="008E1752"/>
    <w:rsid w:val="008E525B"/>
    <w:rsid w:val="008E5B64"/>
    <w:rsid w:val="008E7DAA"/>
    <w:rsid w:val="008F0094"/>
    <w:rsid w:val="008F0976"/>
    <w:rsid w:val="008F1AF0"/>
    <w:rsid w:val="008F340F"/>
    <w:rsid w:val="008F7F30"/>
    <w:rsid w:val="00903523"/>
    <w:rsid w:val="00905F04"/>
    <w:rsid w:val="0090659A"/>
    <w:rsid w:val="009067FF"/>
    <w:rsid w:val="00915986"/>
    <w:rsid w:val="00916E22"/>
    <w:rsid w:val="00916F54"/>
    <w:rsid w:val="00917624"/>
    <w:rsid w:val="00917749"/>
    <w:rsid w:val="00922577"/>
    <w:rsid w:val="00923199"/>
    <w:rsid w:val="00924FAC"/>
    <w:rsid w:val="00930386"/>
    <w:rsid w:val="009309F5"/>
    <w:rsid w:val="00933237"/>
    <w:rsid w:val="00933F28"/>
    <w:rsid w:val="00933F66"/>
    <w:rsid w:val="00934F60"/>
    <w:rsid w:val="00941C94"/>
    <w:rsid w:val="00944060"/>
    <w:rsid w:val="009448DA"/>
    <w:rsid w:val="00946E7D"/>
    <w:rsid w:val="00947497"/>
    <w:rsid w:val="009476C0"/>
    <w:rsid w:val="009479CF"/>
    <w:rsid w:val="00950D71"/>
    <w:rsid w:val="00951231"/>
    <w:rsid w:val="009523E7"/>
    <w:rsid w:val="00957F8C"/>
    <w:rsid w:val="0096001B"/>
    <w:rsid w:val="00960333"/>
    <w:rsid w:val="00963E34"/>
    <w:rsid w:val="00964DFA"/>
    <w:rsid w:val="00970E07"/>
    <w:rsid w:val="0097404E"/>
    <w:rsid w:val="00975388"/>
    <w:rsid w:val="00980589"/>
    <w:rsid w:val="0098155C"/>
    <w:rsid w:val="00983B77"/>
    <w:rsid w:val="009867E9"/>
    <w:rsid w:val="00986FE6"/>
    <w:rsid w:val="00987ACE"/>
    <w:rsid w:val="00991429"/>
    <w:rsid w:val="009940E3"/>
    <w:rsid w:val="00996053"/>
    <w:rsid w:val="009A0B2F"/>
    <w:rsid w:val="009A1B87"/>
    <w:rsid w:val="009A1CF4"/>
    <w:rsid w:val="009A3335"/>
    <w:rsid w:val="009A37D7"/>
    <w:rsid w:val="009A4E17"/>
    <w:rsid w:val="009A6955"/>
    <w:rsid w:val="009A7AB5"/>
    <w:rsid w:val="009B24CD"/>
    <w:rsid w:val="009B3278"/>
    <w:rsid w:val="009B341C"/>
    <w:rsid w:val="009B5747"/>
    <w:rsid w:val="009B63BC"/>
    <w:rsid w:val="009C1635"/>
    <w:rsid w:val="009C21B0"/>
    <w:rsid w:val="009C5D62"/>
    <w:rsid w:val="009D2C27"/>
    <w:rsid w:val="009D3481"/>
    <w:rsid w:val="009D384D"/>
    <w:rsid w:val="009E1C1A"/>
    <w:rsid w:val="009E2309"/>
    <w:rsid w:val="009E31C3"/>
    <w:rsid w:val="009E42B9"/>
    <w:rsid w:val="009E4E1A"/>
    <w:rsid w:val="009E61A7"/>
    <w:rsid w:val="009F0470"/>
    <w:rsid w:val="009F29E8"/>
    <w:rsid w:val="009F3C1F"/>
    <w:rsid w:val="009F5C5E"/>
    <w:rsid w:val="009F6EE2"/>
    <w:rsid w:val="00A014A3"/>
    <w:rsid w:val="00A0412D"/>
    <w:rsid w:val="00A043D6"/>
    <w:rsid w:val="00A06347"/>
    <w:rsid w:val="00A11DB1"/>
    <w:rsid w:val="00A21211"/>
    <w:rsid w:val="00A24698"/>
    <w:rsid w:val="00A34E7F"/>
    <w:rsid w:val="00A41214"/>
    <w:rsid w:val="00A418CF"/>
    <w:rsid w:val="00A466A4"/>
    <w:rsid w:val="00A46F0A"/>
    <w:rsid w:val="00A46F25"/>
    <w:rsid w:val="00A47CC2"/>
    <w:rsid w:val="00A51AE3"/>
    <w:rsid w:val="00A52C78"/>
    <w:rsid w:val="00A553D4"/>
    <w:rsid w:val="00A57BA9"/>
    <w:rsid w:val="00A60146"/>
    <w:rsid w:val="00A622C4"/>
    <w:rsid w:val="00A629B8"/>
    <w:rsid w:val="00A65158"/>
    <w:rsid w:val="00A6661D"/>
    <w:rsid w:val="00A7006A"/>
    <w:rsid w:val="00A70C89"/>
    <w:rsid w:val="00A74283"/>
    <w:rsid w:val="00A754B4"/>
    <w:rsid w:val="00A76AED"/>
    <w:rsid w:val="00A807C1"/>
    <w:rsid w:val="00A82028"/>
    <w:rsid w:val="00A83374"/>
    <w:rsid w:val="00A85482"/>
    <w:rsid w:val="00A930A3"/>
    <w:rsid w:val="00A93DF0"/>
    <w:rsid w:val="00A96172"/>
    <w:rsid w:val="00A9658C"/>
    <w:rsid w:val="00A96EB5"/>
    <w:rsid w:val="00AA3F87"/>
    <w:rsid w:val="00AA45BB"/>
    <w:rsid w:val="00AB0D6A"/>
    <w:rsid w:val="00AB38A6"/>
    <w:rsid w:val="00AB3ACB"/>
    <w:rsid w:val="00AB4134"/>
    <w:rsid w:val="00AB43B3"/>
    <w:rsid w:val="00AB49B9"/>
    <w:rsid w:val="00AB758A"/>
    <w:rsid w:val="00AB77B8"/>
    <w:rsid w:val="00AC1E7E"/>
    <w:rsid w:val="00AC30AF"/>
    <w:rsid w:val="00AC4ECE"/>
    <w:rsid w:val="00AC507D"/>
    <w:rsid w:val="00AC66E4"/>
    <w:rsid w:val="00AD4578"/>
    <w:rsid w:val="00AD4C96"/>
    <w:rsid w:val="00AD68E9"/>
    <w:rsid w:val="00AE189E"/>
    <w:rsid w:val="00AE1A31"/>
    <w:rsid w:val="00AE56C0"/>
    <w:rsid w:val="00AF2783"/>
    <w:rsid w:val="00AF36BF"/>
    <w:rsid w:val="00AF45E1"/>
    <w:rsid w:val="00AF5B6A"/>
    <w:rsid w:val="00B00914"/>
    <w:rsid w:val="00B00A52"/>
    <w:rsid w:val="00B014DA"/>
    <w:rsid w:val="00B02A8E"/>
    <w:rsid w:val="00B0445E"/>
    <w:rsid w:val="00B052EE"/>
    <w:rsid w:val="00B06F53"/>
    <w:rsid w:val="00B1081F"/>
    <w:rsid w:val="00B12988"/>
    <w:rsid w:val="00B1621E"/>
    <w:rsid w:val="00B16CDB"/>
    <w:rsid w:val="00B21FCD"/>
    <w:rsid w:val="00B2714F"/>
    <w:rsid w:val="00B27499"/>
    <w:rsid w:val="00B3010D"/>
    <w:rsid w:val="00B30502"/>
    <w:rsid w:val="00B30C92"/>
    <w:rsid w:val="00B3116E"/>
    <w:rsid w:val="00B317B3"/>
    <w:rsid w:val="00B35151"/>
    <w:rsid w:val="00B4199D"/>
    <w:rsid w:val="00B433F2"/>
    <w:rsid w:val="00B4354A"/>
    <w:rsid w:val="00B458E8"/>
    <w:rsid w:val="00B469C3"/>
    <w:rsid w:val="00B5397B"/>
    <w:rsid w:val="00B54BB4"/>
    <w:rsid w:val="00B57621"/>
    <w:rsid w:val="00B579CE"/>
    <w:rsid w:val="00B608FC"/>
    <w:rsid w:val="00B62809"/>
    <w:rsid w:val="00B62B83"/>
    <w:rsid w:val="00B71730"/>
    <w:rsid w:val="00B73F02"/>
    <w:rsid w:val="00B7675A"/>
    <w:rsid w:val="00B76B25"/>
    <w:rsid w:val="00B81898"/>
    <w:rsid w:val="00B82C78"/>
    <w:rsid w:val="00B835A6"/>
    <w:rsid w:val="00B852D8"/>
    <w:rsid w:val="00B8606B"/>
    <w:rsid w:val="00B878E7"/>
    <w:rsid w:val="00B879DA"/>
    <w:rsid w:val="00B909C1"/>
    <w:rsid w:val="00B95AD5"/>
    <w:rsid w:val="00B95F19"/>
    <w:rsid w:val="00B97278"/>
    <w:rsid w:val="00BA1B8E"/>
    <w:rsid w:val="00BA1D0B"/>
    <w:rsid w:val="00BA66BD"/>
    <w:rsid w:val="00BA6972"/>
    <w:rsid w:val="00BB1E0D"/>
    <w:rsid w:val="00BB4D9B"/>
    <w:rsid w:val="00BB506F"/>
    <w:rsid w:val="00BB5D3E"/>
    <w:rsid w:val="00BB73FF"/>
    <w:rsid w:val="00BB7688"/>
    <w:rsid w:val="00BC0606"/>
    <w:rsid w:val="00BC17A0"/>
    <w:rsid w:val="00BC5528"/>
    <w:rsid w:val="00BC7CAC"/>
    <w:rsid w:val="00BD1ABC"/>
    <w:rsid w:val="00BD6D76"/>
    <w:rsid w:val="00BE1227"/>
    <w:rsid w:val="00BE4FC0"/>
    <w:rsid w:val="00BE546B"/>
    <w:rsid w:val="00BE56B3"/>
    <w:rsid w:val="00BF04E8"/>
    <w:rsid w:val="00BF16BF"/>
    <w:rsid w:val="00BF1845"/>
    <w:rsid w:val="00BF35E0"/>
    <w:rsid w:val="00BF4D1F"/>
    <w:rsid w:val="00BF5317"/>
    <w:rsid w:val="00BF532B"/>
    <w:rsid w:val="00C02A73"/>
    <w:rsid w:val="00C063D2"/>
    <w:rsid w:val="00C0683C"/>
    <w:rsid w:val="00C0769A"/>
    <w:rsid w:val="00C07EC5"/>
    <w:rsid w:val="00C07FD9"/>
    <w:rsid w:val="00C10955"/>
    <w:rsid w:val="00C11C4D"/>
    <w:rsid w:val="00C12ADD"/>
    <w:rsid w:val="00C13C76"/>
    <w:rsid w:val="00C148F2"/>
    <w:rsid w:val="00C16238"/>
    <w:rsid w:val="00C1712C"/>
    <w:rsid w:val="00C21157"/>
    <w:rsid w:val="00C22F42"/>
    <w:rsid w:val="00C23E16"/>
    <w:rsid w:val="00C247FA"/>
    <w:rsid w:val="00C2635A"/>
    <w:rsid w:val="00C27E37"/>
    <w:rsid w:val="00C32713"/>
    <w:rsid w:val="00C33E9A"/>
    <w:rsid w:val="00C351B8"/>
    <w:rsid w:val="00C410D9"/>
    <w:rsid w:val="00C41FB5"/>
    <w:rsid w:val="00C44DB7"/>
    <w:rsid w:val="00C44DD7"/>
    <w:rsid w:val="00C4510A"/>
    <w:rsid w:val="00C47F2E"/>
    <w:rsid w:val="00C521DC"/>
    <w:rsid w:val="00C52BA6"/>
    <w:rsid w:val="00C56E53"/>
    <w:rsid w:val="00C57A1A"/>
    <w:rsid w:val="00C614C4"/>
    <w:rsid w:val="00C6258F"/>
    <w:rsid w:val="00C63DF6"/>
    <w:rsid w:val="00C63E58"/>
    <w:rsid w:val="00C6495E"/>
    <w:rsid w:val="00C670EE"/>
    <w:rsid w:val="00C67E3B"/>
    <w:rsid w:val="00C701E3"/>
    <w:rsid w:val="00C7199D"/>
    <w:rsid w:val="00C72723"/>
    <w:rsid w:val="00C72DB4"/>
    <w:rsid w:val="00C734DB"/>
    <w:rsid w:val="00C75778"/>
    <w:rsid w:val="00C77482"/>
    <w:rsid w:val="00C82486"/>
    <w:rsid w:val="00C842B3"/>
    <w:rsid w:val="00C90311"/>
    <w:rsid w:val="00C90A8F"/>
    <w:rsid w:val="00C91131"/>
    <w:rsid w:val="00C912AD"/>
    <w:rsid w:val="00C912F9"/>
    <w:rsid w:val="00C91B89"/>
    <w:rsid w:val="00C91C26"/>
    <w:rsid w:val="00C930B5"/>
    <w:rsid w:val="00C942CD"/>
    <w:rsid w:val="00C96D3C"/>
    <w:rsid w:val="00C96D4C"/>
    <w:rsid w:val="00CA73D5"/>
    <w:rsid w:val="00CB3A2C"/>
    <w:rsid w:val="00CC1C87"/>
    <w:rsid w:val="00CC3000"/>
    <w:rsid w:val="00CC3810"/>
    <w:rsid w:val="00CC395F"/>
    <w:rsid w:val="00CC4859"/>
    <w:rsid w:val="00CC590D"/>
    <w:rsid w:val="00CC5E5F"/>
    <w:rsid w:val="00CC7A35"/>
    <w:rsid w:val="00CD072A"/>
    <w:rsid w:val="00CD26F9"/>
    <w:rsid w:val="00CD2DCA"/>
    <w:rsid w:val="00CD3FE2"/>
    <w:rsid w:val="00CD799E"/>
    <w:rsid w:val="00CD7F73"/>
    <w:rsid w:val="00CE13E2"/>
    <w:rsid w:val="00CE26C5"/>
    <w:rsid w:val="00CE28C7"/>
    <w:rsid w:val="00CE36AF"/>
    <w:rsid w:val="00CE3972"/>
    <w:rsid w:val="00CE4F91"/>
    <w:rsid w:val="00CE54DD"/>
    <w:rsid w:val="00CF0DA5"/>
    <w:rsid w:val="00CF2838"/>
    <w:rsid w:val="00CF3455"/>
    <w:rsid w:val="00CF3D48"/>
    <w:rsid w:val="00CF652B"/>
    <w:rsid w:val="00CF791A"/>
    <w:rsid w:val="00D00686"/>
    <w:rsid w:val="00D00D7D"/>
    <w:rsid w:val="00D0319E"/>
    <w:rsid w:val="00D0365A"/>
    <w:rsid w:val="00D05A6E"/>
    <w:rsid w:val="00D115AA"/>
    <w:rsid w:val="00D139C8"/>
    <w:rsid w:val="00D142F6"/>
    <w:rsid w:val="00D16E4C"/>
    <w:rsid w:val="00D17F81"/>
    <w:rsid w:val="00D21402"/>
    <w:rsid w:val="00D214CD"/>
    <w:rsid w:val="00D2290C"/>
    <w:rsid w:val="00D2428A"/>
    <w:rsid w:val="00D25FBF"/>
    <w:rsid w:val="00D2758C"/>
    <w:rsid w:val="00D275CA"/>
    <w:rsid w:val="00D2789B"/>
    <w:rsid w:val="00D3086B"/>
    <w:rsid w:val="00D345AB"/>
    <w:rsid w:val="00D35F25"/>
    <w:rsid w:val="00D36FC0"/>
    <w:rsid w:val="00D37A31"/>
    <w:rsid w:val="00D37F1E"/>
    <w:rsid w:val="00D41566"/>
    <w:rsid w:val="00D42220"/>
    <w:rsid w:val="00D44193"/>
    <w:rsid w:val="00D458EC"/>
    <w:rsid w:val="00D50154"/>
    <w:rsid w:val="00D501B0"/>
    <w:rsid w:val="00D5084A"/>
    <w:rsid w:val="00D52582"/>
    <w:rsid w:val="00D52D8A"/>
    <w:rsid w:val="00D532B8"/>
    <w:rsid w:val="00D55758"/>
    <w:rsid w:val="00D5680E"/>
    <w:rsid w:val="00D56A0E"/>
    <w:rsid w:val="00D57AD3"/>
    <w:rsid w:val="00D635FE"/>
    <w:rsid w:val="00D64828"/>
    <w:rsid w:val="00D64EF4"/>
    <w:rsid w:val="00D65F69"/>
    <w:rsid w:val="00D6718C"/>
    <w:rsid w:val="00D6770B"/>
    <w:rsid w:val="00D67E0B"/>
    <w:rsid w:val="00D70A34"/>
    <w:rsid w:val="00D729DE"/>
    <w:rsid w:val="00D75B6A"/>
    <w:rsid w:val="00D80119"/>
    <w:rsid w:val="00D8231A"/>
    <w:rsid w:val="00D83595"/>
    <w:rsid w:val="00D84BDA"/>
    <w:rsid w:val="00D85686"/>
    <w:rsid w:val="00D867CD"/>
    <w:rsid w:val="00D876A8"/>
    <w:rsid w:val="00D87F26"/>
    <w:rsid w:val="00D9268B"/>
    <w:rsid w:val="00D92D0C"/>
    <w:rsid w:val="00D93063"/>
    <w:rsid w:val="00D933B0"/>
    <w:rsid w:val="00D93C3D"/>
    <w:rsid w:val="00D96E0C"/>
    <w:rsid w:val="00D977E8"/>
    <w:rsid w:val="00DA0048"/>
    <w:rsid w:val="00DA25F5"/>
    <w:rsid w:val="00DA2642"/>
    <w:rsid w:val="00DA64A4"/>
    <w:rsid w:val="00DB14A7"/>
    <w:rsid w:val="00DB1C89"/>
    <w:rsid w:val="00DB3763"/>
    <w:rsid w:val="00DB4029"/>
    <w:rsid w:val="00DB491D"/>
    <w:rsid w:val="00DB5BE8"/>
    <w:rsid w:val="00DB5F4D"/>
    <w:rsid w:val="00DB6DA5"/>
    <w:rsid w:val="00DC076B"/>
    <w:rsid w:val="00DC186F"/>
    <w:rsid w:val="00DC252F"/>
    <w:rsid w:val="00DC2E8A"/>
    <w:rsid w:val="00DC6050"/>
    <w:rsid w:val="00DD254A"/>
    <w:rsid w:val="00DD6562"/>
    <w:rsid w:val="00DD6E35"/>
    <w:rsid w:val="00DE33BB"/>
    <w:rsid w:val="00DE4B9E"/>
    <w:rsid w:val="00DE6F44"/>
    <w:rsid w:val="00DF0DD2"/>
    <w:rsid w:val="00DF70DE"/>
    <w:rsid w:val="00E00DD0"/>
    <w:rsid w:val="00E037D9"/>
    <w:rsid w:val="00E05049"/>
    <w:rsid w:val="00E064FB"/>
    <w:rsid w:val="00E130EB"/>
    <w:rsid w:val="00E162CD"/>
    <w:rsid w:val="00E17FA5"/>
    <w:rsid w:val="00E24E12"/>
    <w:rsid w:val="00E2583F"/>
    <w:rsid w:val="00E26930"/>
    <w:rsid w:val="00E27257"/>
    <w:rsid w:val="00E31C37"/>
    <w:rsid w:val="00E36590"/>
    <w:rsid w:val="00E3689A"/>
    <w:rsid w:val="00E449D0"/>
    <w:rsid w:val="00E44C02"/>
    <w:rsid w:val="00E4506A"/>
    <w:rsid w:val="00E450E5"/>
    <w:rsid w:val="00E47945"/>
    <w:rsid w:val="00E47AC0"/>
    <w:rsid w:val="00E53F99"/>
    <w:rsid w:val="00E54DA2"/>
    <w:rsid w:val="00E55B33"/>
    <w:rsid w:val="00E56510"/>
    <w:rsid w:val="00E62A4A"/>
    <w:rsid w:val="00E62EA8"/>
    <w:rsid w:val="00E650E3"/>
    <w:rsid w:val="00E654DD"/>
    <w:rsid w:val="00E6616A"/>
    <w:rsid w:val="00E66202"/>
    <w:rsid w:val="00E67598"/>
    <w:rsid w:val="00E67A6E"/>
    <w:rsid w:val="00E67FD6"/>
    <w:rsid w:val="00E71B43"/>
    <w:rsid w:val="00E805D4"/>
    <w:rsid w:val="00E81612"/>
    <w:rsid w:val="00E87402"/>
    <w:rsid w:val="00E87D18"/>
    <w:rsid w:val="00E87D62"/>
    <w:rsid w:val="00E93D8E"/>
    <w:rsid w:val="00EA02A8"/>
    <w:rsid w:val="00EA072D"/>
    <w:rsid w:val="00EA10CF"/>
    <w:rsid w:val="00EA486E"/>
    <w:rsid w:val="00EA4E77"/>
    <w:rsid w:val="00EA4FA3"/>
    <w:rsid w:val="00EA6883"/>
    <w:rsid w:val="00EB001B"/>
    <w:rsid w:val="00EB06EB"/>
    <w:rsid w:val="00EB1409"/>
    <w:rsid w:val="00EB36FA"/>
    <w:rsid w:val="00EB6C33"/>
    <w:rsid w:val="00EC123F"/>
    <w:rsid w:val="00EC12EC"/>
    <w:rsid w:val="00EC5A3F"/>
    <w:rsid w:val="00ED6019"/>
    <w:rsid w:val="00ED7830"/>
    <w:rsid w:val="00EE09F9"/>
    <w:rsid w:val="00EE3909"/>
    <w:rsid w:val="00EE7C03"/>
    <w:rsid w:val="00EF3C5A"/>
    <w:rsid w:val="00EF4205"/>
    <w:rsid w:val="00EF4C79"/>
    <w:rsid w:val="00EF5939"/>
    <w:rsid w:val="00EF6E7D"/>
    <w:rsid w:val="00F01714"/>
    <w:rsid w:val="00F0258F"/>
    <w:rsid w:val="00F02D06"/>
    <w:rsid w:val="00F03CFE"/>
    <w:rsid w:val="00F06FDD"/>
    <w:rsid w:val="00F07067"/>
    <w:rsid w:val="00F10819"/>
    <w:rsid w:val="00F11FBB"/>
    <w:rsid w:val="00F13A1B"/>
    <w:rsid w:val="00F13A67"/>
    <w:rsid w:val="00F13E3B"/>
    <w:rsid w:val="00F16F35"/>
    <w:rsid w:val="00F177B8"/>
    <w:rsid w:val="00F21321"/>
    <w:rsid w:val="00F2201D"/>
    <w:rsid w:val="00F2229D"/>
    <w:rsid w:val="00F25ABB"/>
    <w:rsid w:val="00F260C1"/>
    <w:rsid w:val="00F27963"/>
    <w:rsid w:val="00F30446"/>
    <w:rsid w:val="00F317B9"/>
    <w:rsid w:val="00F37267"/>
    <w:rsid w:val="00F378B3"/>
    <w:rsid w:val="00F40427"/>
    <w:rsid w:val="00F40547"/>
    <w:rsid w:val="00F4135D"/>
    <w:rsid w:val="00F41F1B"/>
    <w:rsid w:val="00F46BD9"/>
    <w:rsid w:val="00F52369"/>
    <w:rsid w:val="00F52D63"/>
    <w:rsid w:val="00F52EA6"/>
    <w:rsid w:val="00F60BE0"/>
    <w:rsid w:val="00F6280E"/>
    <w:rsid w:val="00F64E25"/>
    <w:rsid w:val="00F65D91"/>
    <w:rsid w:val="00F7050A"/>
    <w:rsid w:val="00F71434"/>
    <w:rsid w:val="00F720BB"/>
    <w:rsid w:val="00F723D9"/>
    <w:rsid w:val="00F7459E"/>
    <w:rsid w:val="00F75533"/>
    <w:rsid w:val="00F76603"/>
    <w:rsid w:val="00F82A88"/>
    <w:rsid w:val="00F857B4"/>
    <w:rsid w:val="00F85BD2"/>
    <w:rsid w:val="00F85D27"/>
    <w:rsid w:val="00F867E8"/>
    <w:rsid w:val="00F92D42"/>
    <w:rsid w:val="00F93FD0"/>
    <w:rsid w:val="00FA118E"/>
    <w:rsid w:val="00FA1945"/>
    <w:rsid w:val="00FA24CA"/>
    <w:rsid w:val="00FA3811"/>
    <w:rsid w:val="00FA3B9F"/>
    <w:rsid w:val="00FA3F06"/>
    <w:rsid w:val="00FA4A26"/>
    <w:rsid w:val="00FA4A8B"/>
    <w:rsid w:val="00FA61C0"/>
    <w:rsid w:val="00FA6A8D"/>
    <w:rsid w:val="00FA7084"/>
    <w:rsid w:val="00FA7BEF"/>
    <w:rsid w:val="00FA7D8C"/>
    <w:rsid w:val="00FB1929"/>
    <w:rsid w:val="00FB3259"/>
    <w:rsid w:val="00FB3260"/>
    <w:rsid w:val="00FB5FD9"/>
    <w:rsid w:val="00FB6EF4"/>
    <w:rsid w:val="00FB6F3C"/>
    <w:rsid w:val="00FB7741"/>
    <w:rsid w:val="00FB7A4C"/>
    <w:rsid w:val="00FC2E65"/>
    <w:rsid w:val="00FC3B6C"/>
    <w:rsid w:val="00FC7834"/>
    <w:rsid w:val="00FD272E"/>
    <w:rsid w:val="00FD33AB"/>
    <w:rsid w:val="00FD4724"/>
    <w:rsid w:val="00FD4A68"/>
    <w:rsid w:val="00FD68ED"/>
    <w:rsid w:val="00FE1F18"/>
    <w:rsid w:val="00FE2824"/>
    <w:rsid w:val="00FE2B36"/>
    <w:rsid w:val="00FE2EF9"/>
    <w:rsid w:val="00FE353F"/>
    <w:rsid w:val="00FE3BC4"/>
    <w:rsid w:val="00FE4FDE"/>
    <w:rsid w:val="00FE6198"/>
    <w:rsid w:val="00FE661F"/>
    <w:rsid w:val="00FF0400"/>
    <w:rsid w:val="00FF09DB"/>
    <w:rsid w:val="00FF28F9"/>
    <w:rsid w:val="00FF3D6B"/>
    <w:rsid w:val="00FF4220"/>
    <w:rsid w:val="00FF55C5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5A625AD9-E2EA-4264-ABB8-57A95E5C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EB9"/>
    <w:pPr>
      <w:spacing w:before="60" w:after="6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lientNote">
    <w:name w:val="Client Note"/>
    <w:basedOn w:val="Normal"/>
    <w:next w:val="Normal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Normal"/>
    <w:next w:val="BodyText1"/>
    <w:uiPriority w:val="99"/>
    <w:qFormat/>
    <w:rsid w:val="00596998"/>
    <w:pPr>
      <w:keepNext/>
      <w:numPr>
        <w:numId w:val="4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Normal"/>
    <w:qFormat/>
    <w:rsid w:val="00FD4A68"/>
    <w:rPr>
      <w:b/>
      <w:sz w:val="32"/>
    </w:rPr>
  </w:style>
  <w:style w:type="paragraph" w:customStyle="1" w:styleId="PageHead">
    <w:name w:val="Page Head"/>
    <w:basedOn w:val="Normal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Normal"/>
    <w:next w:val="BodyTextL25"/>
    <w:qFormat/>
    <w:rsid w:val="002C475E"/>
    <w:pPr>
      <w:keepNext/>
      <w:numPr>
        <w:ilvl w:val="1"/>
        <w:numId w:val="2"/>
      </w:numPr>
      <w:spacing w:before="240" w:after="120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59A"/>
  </w:style>
  <w:style w:type="paragraph" w:styleId="Footer">
    <w:name w:val="footer"/>
    <w:basedOn w:val="Normal"/>
    <w:link w:val="FooterChar"/>
    <w:autoRedefine/>
    <w:uiPriority w:val="99"/>
    <w:unhideWhenUsed/>
    <w:rsid w:val="00163164"/>
    <w:pPr>
      <w:tabs>
        <w:tab w:val="right" w:pos="10080"/>
      </w:tabs>
      <w:spacing w:after="0"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163164"/>
    <w:rPr>
      <w:sz w:val="16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Normal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097163"/>
  </w:style>
  <w:style w:type="table" w:styleId="TableGrid">
    <w:name w:val="Table Grid"/>
    <w:basedOn w:val="TableNormal"/>
    <w:uiPriority w:val="59"/>
    <w:rsid w:val="005D35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">
    <w:name w:val="Table Heading"/>
    <w:basedOn w:val="Normal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Normal"/>
    <w:uiPriority w:val="99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Normal"/>
    <w:uiPriority w:val="99"/>
    <w:qFormat/>
    <w:rsid w:val="00AC507D"/>
    <w:pPr>
      <w:numPr>
        <w:ilvl w:val="1"/>
        <w:numId w:val="1"/>
      </w:numPr>
    </w:pPr>
    <w:rPr>
      <w:sz w:val="20"/>
    </w:rPr>
  </w:style>
  <w:style w:type="paragraph" w:customStyle="1" w:styleId="InstNoteRed">
    <w:name w:val="Inst Note Red"/>
    <w:basedOn w:val="BodyText1"/>
    <w:next w:val="BodyText1"/>
    <w:qFormat/>
    <w:rsid w:val="00FD33AB"/>
    <w:rPr>
      <w:color w:val="FF0000"/>
    </w:rPr>
  </w:style>
  <w:style w:type="paragraph" w:customStyle="1" w:styleId="PartHead">
    <w:name w:val="Part Head"/>
    <w:basedOn w:val="ListParagraph"/>
    <w:next w:val="BodyTextL25"/>
    <w:qFormat/>
    <w:rsid w:val="002C475E"/>
    <w:pPr>
      <w:keepNext/>
      <w:numPr>
        <w:numId w:val="2"/>
      </w:numPr>
      <w:spacing w:before="240"/>
      <w:outlineLvl w:val="0"/>
    </w:pPr>
    <w:rPr>
      <w:b/>
      <w:sz w:val="28"/>
    </w:rPr>
  </w:style>
  <w:style w:type="paragraph" w:customStyle="1" w:styleId="SubStepAlpha">
    <w:name w:val="SubStep Alpha"/>
    <w:basedOn w:val="Normal"/>
    <w:qFormat/>
    <w:rsid w:val="00D41566"/>
    <w:pPr>
      <w:numPr>
        <w:ilvl w:val="2"/>
        <w:numId w:val="2"/>
      </w:numPr>
      <w:spacing w:before="120" w:after="120" w:line="240" w:lineRule="auto"/>
    </w:pPr>
    <w:rPr>
      <w:sz w:val="20"/>
    </w:rPr>
  </w:style>
  <w:style w:type="paragraph" w:customStyle="1" w:styleId="CMD">
    <w:name w:val="CMD"/>
    <w:basedOn w:val="Normal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Normal"/>
    <w:qFormat/>
    <w:rsid w:val="00853418"/>
    <w:pPr>
      <w:spacing w:before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uiPriority w:val="99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next w:val="BodyText1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Normal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"/>
    <w:qFormat/>
    <w:rsid w:val="00C44DB7"/>
    <w:pPr>
      <w:spacing w:before="240" w:after="240"/>
      <w:jc w:val="center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SubStepAlpha"/>
    <w:qFormat/>
    <w:rsid w:val="002C475E"/>
    <w:pPr>
      <w:numPr>
        <w:ilvl w:val="3"/>
      </w:numPr>
    </w:pPr>
  </w:style>
  <w:style w:type="table" w:customStyle="1" w:styleId="LightList-Accent11">
    <w:name w:val="Light List - Accent 11"/>
    <w:basedOn w:val="TableNormal"/>
    <w:uiPriority w:val="61"/>
    <w:rsid w:val="00915986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TableNormal"/>
    <w:uiPriority w:val="99"/>
    <w:qFormat/>
    <w:rsid w:val="00E87D62"/>
    <w:tblPr>
      <w:jc w:val="center"/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NoList"/>
    <w:rsid w:val="00AC507D"/>
    <w:pPr>
      <w:numPr>
        <w:numId w:val="1"/>
      </w:numPr>
    </w:pPr>
  </w:style>
  <w:style w:type="numbering" w:customStyle="1" w:styleId="PartStepSubStepList">
    <w:name w:val="Part_Step_SubStep_List"/>
    <w:basedOn w:val="NoList"/>
    <w:uiPriority w:val="99"/>
    <w:rsid w:val="002C475E"/>
    <w:pPr>
      <w:numPr>
        <w:numId w:val="2"/>
      </w:numPr>
    </w:pPr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next w:val="BodyTextL25"/>
    <w:qFormat/>
    <w:rsid w:val="00FD33AB"/>
    <w:rPr>
      <w:color w:val="FF0000"/>
    </w:rPr>
  </w:style>
  <w:style w:type="paragraph" w:styleId="ListParagraph">
    <w:name w:val="List Paragraph"/>
    <w:basedOn w:val="Normal"/>
    <w:uiPriority w:val="34"/>
    <w:semiHidden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C6495E"/>
    <w:rPr>
      <w:rFonts w:ascii="Courier New" w:eastAsia="Times New Roman" w:hAnsi="Courier New" w:cs="Courier New"/>
    </w:rPr>
  </w:style>
  <w:style w:type="character" w:styleId="CommentReference">
    <w:name w:val="annotation reference"/>
    <w:uiPriority w:val="99"/>
    <w:semiHidden/>
    <w:unhideWhenUsed/>
    <w:rsid w:val="000B2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3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3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34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numPr>
        <w:ilvl w:val="1"/>
        <w:numId w:val="4"/>
      </w:numPr>
    </w:pPr>
  </w:style>
  <w:style w:type="numbering" w:customStyle="1" w:styleId="SectionList">
    <w:name w:val="Section_List"/>
    <w:basedOn w:val="NoList"/>
    <w:uiPriority w:val="99"/>
    <w:rsid w:val="00596998"/>
    <w:pPr>
      <w:numPr>
        <w:numId w:val="4"/>
      </w:numPr>
    </w:pPr>
  </w:style>
  <w:style w:type="character" w:customStyle="1" w:styleId="apple-style-span">
    <w:name w:val="apple-style-span"/>
    <w:basedOn w:val="DefaultParagraphFont"/>
    <w:rsid w:val="00CE3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9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BA6407-80F4-4C07-B5AA-023EB1A41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3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Betty Staerk</dc:creator>
  <cp:lastModifiedBy>Stephen Lynch</cp:lastModifiedBy>
  <cp:revision>724</cp:revision>
  <dcterms:created xsi:type="dcterms:W3CDTF">2013-03-14T12:54:00Z</dcterms:created>
  <dcterms:modified xsi:type="dcterms:W3CDTF">2013-08-05T02:00:00Z</dcterms:modified>
</cp:coreProperties>
</file>