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A60E" w14:textId="77777777" w:rsidR="008B4406" w:rsidRDefault="00F75208">
      <w:pPr>
        <w:spacing w:after="0" w:line="259" w:lineRule="auto"/>
        <w:ind w:left="0" w:firstLine="0"/>
      </w:pPr>
      <w:r>
        <w:rPr>
          <w:b/>
          <w:color w:val="1F4E79"/>
          <w:sz w:val="32"/>
        </w:rPr>
        <w:t>AI Institutional Coordination Committee</w:t>
      </w:r>
      <w:r>
        <w:rPr>
          <w:sz w:val="20"/>
        </w:rPr>
        <w:t xml:space="preserve"> </w:t>
      </w:r>
    </w:p>
    <w:p w14:paraId="62F22ABF" w14:textId="77777777" w:rsidR="008B4406" w:rsidRDefault="00F75208">
      <w:pPr>
        <w:spacing w:after="0" w:line="259" w:lineRule="auto"/>
        <w:ind w:left="0" w:firstLine="0"/>
      </w:pPr>
      <w:r>
        <w:rPr>
          <w:color w:val="595959"/>
        </w:rPr>
        <w:t xml:space="preserve">Meeting Agenda Date: 7/23/26    Time: 1:00pm </w:t>
      </w:r>
      <w:r>
        <w:rPr>
          <w:color w:val="595959"/>
        </w:rPr>
        <w:t>–</w:t>
      </w:r>
      <w:r>
        <w:rPr>
          <w:color w:val="595959"/>
        </w:rPr>
        <w:t xml:space="preserve"> 2:00pm</w:t>
      </w:r>
      <w:r>
        <w:rPr>
          <w:sz w:val="20"/>
        </w:rPr>
        <w:t xml:space="preserve"> </w:t>
      </w:r>
    </w:p>
    <w:tbl>
      <w:tblPr>
        <w:tblStyle w:val="TableGrid"/>
        <w:tblW w:w="9242" w:type="dxa"/>
        <w:tblInd w:w="6" w:type="dxa"/>
        <w:tblCellMar>
          <w:top w:w="110" w:type="dxa"/>
          <w:left w:w="99" w:type="dxa"/>
          <w:bottom w:w="0" w:type="dxa"/>
          <w:right w:w="90" w:type="dxa"/>
        </w:tblCellMar>
        <w:tblLook w:val="04A0" w:firstRow="1" w:lastRow="0" w:firstColumn="1" w:lastColumn="0" w:noHBand="0" w:noVBand="1"/>
      </w:tblPr>
      <w:tblGrid>
        <w:gridCol w:w="3400"/>
        <w:gridCol w:w="4703"/>
        <w:gridCol w:w="1139"/>
      </w:tblGrid>
      <w:tr w:rsidR="008B4406" w14:paraId="026485EA" w14:textId="77777777">
        <w:trPr>
          <w:trHeight w:val="359"/>
        </w:trPr>
        <w:tc>
          <w:tcPr>
            <w:tcW w:w="3400" w:type="dxa"/>
            <w:tcBorders>
              <w:top w:val="single" w:sz="4" w:space="0" w:color="000000"/>
              <w:left w:val="single" w:sz="4" w:space="0" w:color="000000"/>
              <w:bottom w:val="single" w:sz="24" w:space="0" w:color="FFFFFF"/>
              <w:right w:val="single" w:sz="4" w:space="0" w:color="000000"/>
            </w:tcBorders>
            <w:shd w:val="clear" w:color="auto" w:fill="1F4E79"/>
          </w:tcPr>
          <w:p w14:paraId="7F5EBC0C" w14:textId="77777777" w:rsidR="008B4406" w:rsidRDefault="00F75208">
            <w:pPr>
              <w:spacing w:after="0" w:line="259" w:lineRule="auto"/>
              <w:ind w:left="0" w:firstLine="0"/>
            </w:pPr>
            <w:r>
              <w:rPr>
                <w:b/>
                <w:color w:val="FFFFFF"/>
                <w:sz w:val="20"/>
              </w:rPr>
              <w:t>Name</w:t>
            </w:r>
            <w:r>
              <w:rPr>
                <w:sz w:val="20"/>
              </w:rPr>
              <w:t xml:space="preserve"> </w:t>
            </w:r>
          </w:p>
        </w:tc>
        <w:tc>
          <w:tcPr>
            <w:tcW w:w="4702" w:type="dxa"/>
            <w:tcBorders>
              <w:top w:val="single" w:sz="4" w:space="0" w:color="000000"/>
              <w:left w:val="single" w:sz="4" w:space="0" w:color="000000"/>
              <w:bottom w:val="single" w:sz="24" w:space="0" w:color="FFFFFF"/>
              <w:right w:val="single" w:sz="4" w:space="0" w:color="000000"/>
            </w:tcBorders>
            <w:shd w:val="clear" w:color="auto" w:fill="1F4E79"/>
          </w:tcPr>
          <w:p w14:paraId="70611051" w14:textId="77777777" w:rsidR="008B4406" w:rsidRDefault="00F75208">
            <w:pPr>
              <w:spacing w:after="0" w:line="259" w:lineRule="auto"/>
              <w:ind w:left="1" w:firstLine="0"/>
            </w:pPr>
            <w:r>
              <w:rPr>
                <w:b/>
                <w:color w:val="FFFFFF"/>
                <w:sz w:val="20"/>
              </w:rPr>
              <w:t>Dept</w:t>
            </w:r>
            <w:r>
              <w:rPr>
                <w:sz w:val="20"/>
              </w:rPr>
              <w:t xml:space="preserve"> </w:t>
            </w:r>
          </w:p>
        </w:tc>
        <w:tc>
          <w:tcPr>
            <w:tcW w:w="1139" w:type="dxa"/>
            <w:tcBorders>
              <w:top w:val="single" w:sz="4" w:space="0" w:color="000000"/>
              <w:left w:val="single" w:sz="4" w:space="0" w:color="000000"/>
              <w:bottom w:val="single" w:sz="24" w:space="0" w:color="FFFFFF"/>
              <w:right w:val="single" w:sz="4" w:space="0" w:color="000000"/>
            </w:tcBorders>
            <w:shd w:val="clear" w:color="auto" w:fill="1F4E79"/>
          </w:tcPr>
          <w:p w14:paraId="56BBEC49" w14:textId="77777777" w:rsidR="008B4406" w:rsidRDefault="00F75208">
            <w:pPr>
              <w:spacing w:after="0" w:line="259" w:lineRule="auto"/>
              <w:ind w:left="0" w:right="13" w:firstLine="0"/>
              <w:jc w:val="center"/>
            </w:pPr>
            <w:r>
              <w:rPr>
                <w:b/>
                <w:color w:val="FFFFFF"/>
                <w:sz w:val="20"/>
              </w:rPr>
              <w:t>Present</w:t>
            </w:r>
            <w:r>
              <w:rPr>
                <w:sz w:val="20"/>
              </w:rPr>
              <w:t xml:space="preserve"> </w:t>
            </w:r>
          </w:p>
        </w:tc>
      </w:tr>
      <w:tr w:rsidR="008B4406" w14:paraId="7BA26FE3" w14:textId="77777777">
        <w:trPr>
          <w:trHeight w:val="362"/>
        </w:trPr>
        <w:tc>
          <w:tcPr>
            <w:tcW w:w="3400" w:type="dxa"/>
            <w:tcBorders>
              <w:top w:val="single" w:sz="24" w:space="0" w:color="FFFFFF"/>
              <w:left w:val="single" w:sz="4" w:space="0" w:color="000000"/>
              <w:bottom w:val="single" w:sz="4" w:space="0" w:color="000000"/>
              <w:right w:val="single" w:sz="4" w:space="0" w:color="000000"/>
            </w:tcBorders>
          </w:tcPr>
          <w:p w14:paraId="657209DE" w14:textId="77777777" w:rsidR="008B4406" w:rsidRDefault="00F75208">
            <w:pPr>
              <w:spacing w:after="0" w:line="259" w:lineRule="auto"/>
              <w:ind w:left="0" w:firstLine="0"/>
            </w:pPr>
            <w:r>
              <w:rPr>
                <w:sz w:val="20"/>
              </w:rPr>
              <w:t xml:space="preserve">Bradley, Jim (Co-Chair) </w:t>
            </w:r>
          </w:p>
        </w:tc>
        <w:tc>
          <w:tcPr>
            <w:tcW w:w="4702" w:type="dxa"/>
            <w:tcBorders>
              <w:top w:val="single" w:sz="24" w:space="0" w:color="FFFFFF"/>
              <w:left w:val="single" w:sz="4" w:space="0" w:color="000000"/>
              <w:bottom w:val="single" w:sz="4" w:space="0" w:color="000000"/>
              <w:right w:val="single" w:sz="4" w:space="0" w:color="000000"/>
            </w:tcBorders>
          </w:tcPr>
          <w:p w14:paraId="62F17BC4" w14:textId="77777777" w:rsidR="008B4406" w:rsidRDefault="00F75208">
            <w:pPr>
              <w:spacing w:after="0" w:line="259" w:lineRule="auto"/>
              <w:ind w:left="1" w:firstLine="0"/>
            </w:pPr>
            <w:r>
              <w:rPr>
                <w:sz w:val="20"/>
              </w:rPr>
              <w:t xml:space="preserve">Information Technology </w:t>
            </w:r>
          </w:p>
        </w:tc>
        <w:tc>
          <w:tcPr>
            <w:tcW w:w="1139" w:type="dxa"/>
            <w:tcBorders>
              <w:top w:val="single" w:sz="24" w:space="0" w:color="FFFFFF"/>
              <w:left w:val="single" w:sz="4" w:space="0" w:color="000000"/>
              <w:bottom w:val="single" w:sz="4" w:space="0" w:color="000000"/>
              <w:right w:val="single" w:sz="4" w:space="0" w:color="000000"/>
            </w:tcBorders>
          </w:tcPr>
          <w:p w14:paraId="6525F12E" w14:textId="77777777" w:rsidR="008B4406" w:rsidRDefault="00F75208">
            <w:pPr>
              <w:spacing w:after="0" w:line="259" w:lineRule="auto"/>
              <w:ind w:left="0" w:right="8" w:firstLine="0"/>
              <w:jc w:val="center"/>
            </w:pPr>
            <w:r>
              <w:rPr>
                <w:sz w:val="20"/>
              </w:rPr>
              <w:t xml:space="preserve">y </w:t>
            </w:r>
          </w:p>
        </w:tc>
      </w:tr>
      <w:tr w:rsidR="008B4406" w14:paraId="495827AA" w14:textId="77777777">
        <w:trPr>
          <w:trHeight w:val="359"/>
        </w:trPr>
        <w:tc>
          <w:tcPr>
            <w:tcW w:w="3400" w:type="dxa"/>
            <w:tcBorders>
              <w:top w:val="single" w:sz="4" w:space="0" w:color="000000"/>
              <w:left w:val="single" w:sz="4" w:space="0" w:color="000000"/>
              <w:bottom w:val="single" w:sz="24" w:space="0" w:color="FFFFFF"/>
              <w:right w:val="single" w:sz="4" w:space="0" w:color="000000"/>
            </w:tcBorders>
            <w:shd w:val="clear" w:color="auto" w:fill="F2F2F2"/>
          </w:tcPr>
          <w:p w14:paraId="21AB532C" w14:textId="77777777" w:rsidR="008B4406" w:rsidRDefault="00F75208">
            <w:pPr>
              <w:spacing w:after="0" w:line="259" w:lineRule="auto"/>
              <w:ind w:left="0" w:firstLine="0"/>
            </w:pPr>
            <w:r>
              <w:rPr>
                <w:sz w:val="20"/>
              </w:rPr>
              <w:t xml:space="preserve">Carruba, Chris (Co-Chair) </w:t>
            </w:r>
          </w:p>
        </w:tc>
        <w:tc>
          <w:tcPr>
            <w:tcW w:w="4702" w:type="dxa"/>
            <w:tcBorders>
              <w:top w:val="single" w:sz="4" w:space="0" w:color="000000"/>
              <w:left w:val="single" w:sz="4" w:space="0" w:color="000000"/>
              <w:bottom w:val="single" w:sz="24" w:space="0" w:color="FFFFFF"/>
              <w:right w:val="single" w:sz="4" w:space="0" w:color="000000"/>
            </w:tcBorders>
            <w:shd w:val="clear" w:color="auto" w:fill="F2F2F2"/>
          </w:tcPr>
          <w:p w14:paraId="44A294A1" w14:textId="77777777" w:rsidR="008B4406" w:rsidRDefault="00F75208">
            <w:pPr>
              <w:spacing w:after="0" w:line="259" w:lineRule="auto"/>
              <w:ind w:left="1" w:firstLine="0"/>
            </w:pPr>
            <w:r>
              <w:rPr>
                <w:sz w:val="20"/>
              </w:rPr>
              <w:t xml:space="preserve">Assistant Professor of Physics; Faculty Senate </w:t>
            </w:r>
          </w:p>
        </w:tc>
        <w:tc>
          <w:tcPr>
            <w:tcW w:w="1139" w:type="dxa"/>
            <w:tcBorders>
              <w:top w:val="single" w:sz="4" w:space="0" w:color="000000"/>
              <w:left w:val="single" w:sz="4" w:space="0" w:color="000000"/>
              <w:bottom w:val="single" w:sz="24" w:space="0" w:color="FFFFFF"/>
              <w:right w:val="single" w:sz="4" w:space="0" w:color="000000"/>
            </w:tcBorders>
            <w:shd w:val="clear" w:color="auto" w:fill="F2F2F2"/>
          </w:tcPr>
          <w:p w14:paraId="2C2CAF91" w14:textId="77777777" w:rsidR="008B4406" w:rsidRDefault="00F75208">
            <w:pPr>
              <w:spacing w:after="0" w:line="259" w:lineRule="auto"/>
              <w:ind w:left="0" w:right="8" w:firstLine="0"/>
              <w:jc w:val="center"/>
            </w:pPr>
            <w:r>
              <w:rPr>
                <w:sz w:val="20"/>
              </w:rPr>
              <w:t xml:space="preserve">y </w:t>
            </w:r>
          </w:p>
        </w:tc>
      </w:tr>
      <w:tr w:rsidR="008B4406" w14:paraId="18F45C5B" w14:textId="77777777">
        <w:trPr>
          <w:trHeight w:val="361"/>
        </w:trPr>
        <w:tc>
          <w:tcPr>
            <w:tcW w:w="3400" w:type="dxa"/>
            <w:tcBorders>
              <w:top w:val="single" w:sz="24" w:space="0" w:color="FFFFFF"/>
              <w:left w:val="single" w:sz="4" w:space="0" w:color="000000"/>
              <w:bottom w:val="single" w:sz="4" w:space="0" w:color="000000"/>
              <w:right w:val="single" w:sz="4" w:space="0" w:color="000000"/>
            </w:tcBorders>
          </w:tcPr>
          <w:p w14:paraId="55F6845E" w14:textId="77777777" w:rsidR="008B4406" w:rsidRDefault="00F75208">
            <w:pPr>
              <w:spacing w:after="0" w:line="259" w:lineRule="auto"/>
              <w:ind w:left="0" w:firstLine="0"/>
            </w:pPr>
            <w:r>
              <w:rPr>
                <w:sz w:val="20"/>
              </w:rPr>
              <w:t xml:space="preserve">Bardsley, Peter </w:t>
            </w:r>
          </w:p>
        </w:tc>
        <w:tc>
          <w:tcPr>
            <w:tcW w:w="4702" w:type="dxa"/>
            <w:tcBorders>
              <w:top w:val="single" w:sz="24" w:space="0" w:color="FFFFFF"/>
              <w:left w:val="single" w:sz="4" w:space="0" w:color="000000"/>
              <w:bottom w:val="single" w:sz="4" w:space="0" w:color="000000"/>
              <w:right w:val="single" w:sz="4" w:space="0" w:color="000000"/>
            </w:tcBorders>
          </w:tcPr>
          <w:p w14:paraId="6D40DB4B" w14:textId="77777777" w:rsidR="008B4406" w:rsidRDefault="00F75208">
            <w:pPr>
              <w:spacing w:after="0" w:line="259" w:lineRule="auto"/>
              <w:ind w:left="1" w:firstLine="0"/>
            </w:pPr>
            <w:r>
              <w:rPr>
                <w:sz w:val="20"/>
              </w:rPr>
              <w:t xml:space="preserve">Institutional Equity, HR and OD </w:t>
            </w:r>
          </w:p>
        </w:tc>
        <w:tc>
          <w:tcPr>
            <w:tcW w:w="1139" w:type="dxa"/>
            <w:tcBorders>
              <w:top w:val="single" w:sz="24" w:space="0" w:color="FFFFFF"/>
              <w:left w:val="single" w:sz="4" w:space="0" w:color="000000"/>
              <w:bottom w:val="single" w:sz="4" w:space="0" w:color="000000"/>
              <w:right w:val="single" w:sz="4" w:space="0" w:color="000000"/>
            </w:tcBorders>
          </w:tcPr>
          <w:p w14:paraId="6C29C195" w14:textId="77777777" w:rsidR="008B4406" w:rsidRDefault="00F75208">
            <w:pPr>
              <w:spacing w:after="0" w:line="259" w:lineRule="auto"/>
              <w:ind w:left="0" w:right="8" w:firstLine="0"/>
              <w:jc w:val="center"/>
            </w:pPr>
            <w:r>
              <w:rPr>
                <w:sz w:val="20"/>
              </w:rPr>
              <w:t xml:space="preserve">y </w:t>
            </w:r>
          </w:p>
        </w:tc>
      </w:tr>
      <w:tr w:rsidR="008B4406" w14:paraId="6A0488CA" w14:textId="77777777">
        <w:trPr>
          <w:trHeight w:val="589"/>
        </w:trPr>
        <w:tc>
          <w:tcPr>
            <w:tcW w:w="3400" w:type="dxa"/>
            <w:tcBorders>
              <w:top w:val="single" w:sz="4" w:space="0" w:color="000000"/>
              <w:left w:val="single" w:sz="4" w:space="0" w:color="000000"/>
              <w:bottom w:val="single" w:sz="24" w:space="0" w:color="FFFFFF"/>
              <w:right w:val="single" w:sz="4" w:space="0" w:color="000000"/>
            </w:tcBorders>
            <w:shd w:val="clear" w:color="auto" w:fill="F2F2F2"/>
          </w:tcPr>
          <w:p w14:paraId="7187BFD6" w14:textId="77777777" w:rsidR="008B4406" w:rsidRDefault="00F75208">
            <w:pPr>
              <w:spacing w:after="0" w:line="259" w:lineRule="auto"/>
              <w:ind w:left="0" w:firstLine="0"/>
            </w:pPr>
            <w:r>
              <w:rPr>
                <w:sz w:val="20"/>
              </w:rPr>
              <w:t xml:space="preserve">Killgore, Leslie </w:t>
            </w:r>
          </w:p>
        </w:tc>
        <w:tc>
          <w:tcPr>
            <w:tcW w:w="4702" w:type="dxa"/>
            <w:tcBorders>
              <w:top w:val="single" w:sz="4" w:space="0" w:color="000000"/>
              <w:left w:val="single" w:sz="4" w:space="0" w:color="000000"/>
              <w:bottom w:val="single" w:sz="24" w:space="0" w:color="FFFFFF"/>
              <w:right w:val="single" w:sz="4" w:space="0" w:color="000000"/>
            </w:tcBorders>
            <w:shd w:val="clear" w:color="auto" w:fill="F2F2F2"/>
          </w:tcPr>
          <w:p w14:paraId="7FD75818" w14:textId="77777777" w:rsidR="008B4406" w:rsidRDefault="00F75208">
            <w:pPr>
              <w:spacing w:after="0" w:line="259" w:lineRule="auto"/>
              <w:ind w:left="1" w:firstLine="0"/>
            </w:pPr>
            <w:r>
              <w:rPr>
                <w:sz w:val="20"/>
              </w:rPr>
              <w:t xml:space="preserve">Professor of Sociology; Director of General Education / Academic Affairs </w:t>
            </w:r>
          </w:p>
        </w:tc>
        <w:tc>
          <w:tcPr>
            <w:tcW w:w="1139" w:type="dxa"/>
            <w:tcBorders>
              <w:top w:val="single" w:sz="4" w:space="0" w:color="000000"/>
              <w:left w:val="single" w:sz="4" w:space="0" w:color="000000"/>
              <w:bottom w:val="single" w:sz="24" w:space="0" w:color="FFFFFF"/>
              <w:right w:val="single" w:sz="4" w:space="0" w:color="000000"/>
            </w:tcBorders>
            <w:shd w:val="clear" w:color="auto" w:fill="F2F2F2"/>
          </w:tcPr>
          <w:p w14:paraId="035B8B88" w14:textId="77777777" w:rsidR="008B4406" w:rsidRDefault="00F75208">
            <w:pPr>
              <w:spacing w:after="0" w:line="259" w:lineRule="auto"/>
              <w:ind w:left="0" w:right="8" w:firstLine="0"/>
              <w:jc w:val="center"/>
            </w:pPr>
            <w:r>
              <w:rPr>
                <w:sz w:val="20"/>
              </w:rPr>
              <w:t xml:space="preserve">y </w:t>
            </w:r>
          </w:p>
        </w:tc>
      </w:tr>
      <w:tr w:rsidR="008B4406" w14:paraId="4DD47598" w14:textId="77777777">
        <w:trPr>
          <w:trHeight w:val="591"/>
        </w:trPr>
        <w:tc>
          <w:tcPr>
            <w:tcW w:w="3400" w:type="dxa"/>
            <w:tcBorders>
              <w:top w:val="single" w:sz="24" w:space="0" w:color="FFFFFF"/>
              <w:left w:val="single" w:sz="4" w:space="0" w:color="000000"/>
              <w:bottom w:val="single" w:sz="4" w:space="0" w:color="000000"/>
              <w:right w:val="single" w:sz="4" w:space="0" w:color="000000"/>
            </w:tcBorders>
          </w:tcPr>
          <w:p w14:paraId="4B00A9EA" w14:textId="77777777" w:rsidR="008B4406" w:rsidRDefault="00F75208">
            <w:pPr>
              <w:spacing w:after="0" w:line="259" w:lineRule="auto"/>
              <w:ind w:left="0" w:firstLine="0"/>
            </w:pPr>
            <w:r>
              <w:rPr>
                <w:sz w:val="20"/>
              </w:rPr>
              <w:t xml:space="preserve">Sidney, Gail </w:t>
            </w:r>
          </w:p>
        </w:tc>
        <w:tc>
          <w:tcPr>
            <w:tcW w:w="4702" w:type="dxa"/>
            <w:tcBorders>
              <w:top w:val="single" w:sz="24" w:space="0" w:color="FFFFFF"/>
              <w:left w:val="single" w:sz="4" w:space="0" w:color="000000"/>
              <w:bottom w:val="single" w:sz="4" w:space="0" w:color="000000"/>
              <w:right w:val="single" w:sz="4" w:space="0" w:color="000000"/>
            </w:tcBorders>
          </w:tcPr>
          <w:p w14:paraId="73834B80" w14:textId="77777777" w:rsidR="008B4406" w:rsidRDefault="00F75208">
            <w:pPr>
              <w:spacing w:after="0" w:line="259" w:lineRule="auto"/>
              <w:ind w:left="1" w:firstLine="0"/>
            </w:pPr>
            <w:r>
              <w:rPr>
                <w:sz w:val="20"/>
              </w:rPr>
              <w:t xml:space="preserve">Success Coach, TRIO Access; Representative, Staff Assembly </w:t>
            </w:r>
          </w:p>
        </w:tc>
        <w:tc>
          <w:tcPr>
            <w:tcW w:w="1139" w:type="dxa"/>
            <w:tcBorders>
              <w:top w:val="single" w:sz="24" w:space="0" w:color="FFFFFF"/>
              <w:left w:val="single" w:sz="4" w:space="0" w:color="000000"/>
              <w:bottom w:val="single" w:sz="4" w:space="0" w:color="000000"/>
              <w:right w:val="single" w:sz="4" w:space="0" w:color="000000"/>
            </w:tcBorders>
          </w:tcPr>
          <w:p w14:paraId="0EF45102" w14:textId="77777777" w:rsidR="008B4406" w:rsidRDefault="00F75208">
            <w:pPr>
              <w:spacing w:after="0" w:line="259" w:lineRule="auto"/>
              <w:ind w:left="0" w:right="8" w:firstLine="0"/>
              <w:jc w:val="center"/>
            </w:pPr>
            <w:r>
              <w:rPr>
                <w:sz w:val="20"/>
              </w:rPr>
              <w:t xml:space="preserve">y </w:t>
            </w:r>
          </w:p>
        </w:tc>
      </w:tr>
      <w:tr w:rsidR="008B4406" w14:paraId="298F9B7C" w14:textId="77777777">
        <w:trPr>
          <w:trHeight w:val="589"/>
        </w:trPr>
        <w:tc>
          <w:tcPr>
            <w:tcW w:w="3400" w:type="dxa"/>
            <w:tcBorders>
              <w:top w:val="single" w:sz="4" w:space="0" w:color="000000"/>
              <w:left w:val="single" w:sz="4" w:space="0" w:color="000000"/>
              <w:bottom w:val="single" w:sz="24" w:space="0" w:color="FFFFFF"/>
              <w:right w:val="single" w:sz="4" w:space="0" w:color="000000"/>
            </w:tcBorders>
            <w:shd w:val="clear" w:color="auto" w:fill="F2F2F2"/>
          </w:tcPr>
          <w:p w14:paraId="6AB02713" w14:textId="77777777" w:rsidR="008B4406" w:rsidRDefault="00F75208">
            <w:pPr>
              <w:spacing w:after="0" w:line="259" w:lineRule="auto"/>
              <w:ind w:left="0" w:firstLine="0"/>
            </w:pPr>
            <w:r>
              <w:rPr>
                <w:sz w:val="20"/>
              </w:rPr>
              <w:t xml:space="preserve">Holcomb, Katie </w:t>
            </w:r>
          </w:p>
        </w:tc>
        <w:tc>
          <w:tcPr>
            <w:tcW w:w="4702" w:type="dxa"/>
            <w:tcBorders>
              <w:top w:val="single" w:sz="4" w:space="0" w:color="000000"/>
              <w:left w:val="single" w:sz="4" w:space="0" w:color="000000"/>
              <w:bottom w:val="single" w:sz="24" w:space="0" w:color="FFFFFF"/>
              <w:right w:val="single" w:sz="4" w:space="0" w:color="000000"/>
            </w:tcBorders>
            <w:shd w:val="clear" w:color="auto" w:fill="F2F2F2"/>
          </w:tcPr>
          <w:p w14:paraId="02D80276" w14:textId="77777777" w:rsidR="008B4406" w:rsidRDefault="00F75208">
            <w:pPr>
              <w:spacing w:after="0" w:line="259" w:lineRule="auto"/>
              <w:ind w:left="1" w:firstLine="0"/>
              <w:jc w:val="both"/>
            </w:pPr>
            <w:r>
              <w:rPr>
                <w:sz w:val="20"/>
              </w:rPr>
              <w:t xml:space="preserve">Associate Professor and Chair, Library; Representative, Chairs Council </w:t>
            </w:r>
          </w:p>
        </w:tc>
        <w:tc>
          <w:tcPr>
            <w:tcW w:w="1139" w:type="dxa"/>
            <w:tcBorders>
              <w:top w:val="single" w:sz="4" w:space="0" w:color="000000"/>
              <w:left w:val="single" w:sz="4" w:space="0" w:color="000000"/>
              <w:bottom w:val="single" w:sz="24" w:space="0" w:color="FFFFFF"/>
              <w:right w:val="single" w:sz="4" w:space="0" w:color="000000"/>
            </w:tcBorders>
            <w:shd w:val="clear" w:color="auto" w:fill="F2F2F2"/>
          </w:tcPr>
          <w:p w14:paraId="33E31454" w14:textId="77777777" w:rsidR="008B4406" w:rsidRDefault="00F75208">
            <w:pPr>
              <w:spacing w:after="0" w:line="259" w:lineRule="auto"/>
              <w:ind w:left="0" w:right="8" w:firstLine="0"/>
              <w:jc w:val="center"/>
            </w:pPr>
            <w:r>
              <w:rPr>
                <w:sz w:val="20"/>
              </w:rPr>
              <w:t xml:space="preserve">n </w:t>
            </w:r>
          </w:p>
        </w:tc>
      </w:tr>
      <w:tr w:rsidR="008B4406" w14:paraId="7D0409BB" w14:textId="77777777">
        <w:trPr>
          <w:trHeight w:val="362"/>
        </w:trPr>
        <w:tc>
          <w:tcPr>
            <w:tcW w:w="3400" w:type="dxa"/>
            <w:tcBorders>
              <w:top w:val="single" w:sz="24" w:space="0" w:color="FFFFFF"/>
              <w:left w:val="single" w:sz="4" w:space="0" w:color="000000"/>
              <w:bottom w:val="single" w:sz="4" w:space="0" w:color="000000"/>
              <w:right w:val="single" w:sz="4" w:space="0" w:color="000000"/>
            </w:tcBorders>
          </w:tcPr>
          <w:p w14:paraId="054C9AAC" w14:textId="77777777" w:rsidR="008B4406" w:rsidRDefault="00F75208">
            <w:pPr>
              <w:spacing w:after="0" w:line="259" w:lineRule="auto"/>
              <w:ind w:left="0" w:firstLine="0"/>
            </w:pPr>
            <w:r>
              <w:rPr>
                <w:sz w:val="20"/>
              </w:rPr>
              <w:t xml:space="preserve">Kacerik, Amy </w:t>
            </w:r>
          </w:p>
        </w:tc>
        <w:tc>
          <w:tcPr>
            <w:tcW w:w="4702" w:type="dxa"/>
            <w:tcBorders>
              <w:top w:val="single" w:sz="24" w:space="0" w:color="FFFFFF"/>
              <w:left w:val="single" w:sz="4" w:space="0" w:color="000000"/>
              <w:bottom w:val="single" w:sz="4" w:space="0" w:color="000000"/>
              <w:right w:val="single" w:sz="4" w:space="0" w:color="000000"/>
            </w:tcBorders>
          </w:tcPr>
          <w:p w14:paraId="66D67BEB" w14:textId="77777777" w:rsidR="008B4406" w:rsidRDefault="00F75208">
            <w:pPr>
              <w:spacing w:after="0" w:line="259" w:lineRule="auto"/>
              <w:ind w:left="1" w:firstLine="0"/>
            </w:pPr>
            <w:r>
              <w:rPr>
                <w:sz w:val="20"/>
              </w:rPr>
              <w:t xml:space="preserve">Associate VP, Student Affairs </w:t>
            </w:r>
          </w:p>
        </w:tc>
        <w:tc>
          <w:tcPr>
            <w:tcW w:w="1139" w:type="dxa"/>
            <w:tcBorders>
              <w:top w:val="single" w:sz="24" w:space="0" w:color="FFFFFF"/>
              <w:left w:val="single" w:sz="4" w:space="0" w:color="000000"/>
              <w:bottom w:val="single" w:sz="4" w:space="0" w:color="000000"/>
              <w:right w:val="single" w:sz="4" w:space="0" w:color="000000"/>
            </w:tcBorders>
          </w:tcPr>
          <w:p w14:paraId="4D5CD27E" w14:textId="77777777" w:rsidR="008B4406" w:rsidRDefault="00F75208">
            <w:pPr>
              <w:spacing w:after="0" w:line="259" w:lineRule="auto"/>
              <w:ind w:left="0" w:right="8" w:firstLine="0"/>
              <w:jc w:val="center"/>
            </w:pPr>
            <w:r>
              <w:rPr>
                <w:sz w:val="20"/>
              </w:rPr>
              <w:t xml:space="preserve">n </w:t>
            </w:r>
          </w:p>
        </w:tc>
      </w:tr>
      <w:tr w:rsidR="008B4406" w14:paraId="63D3BE0F" w14:textId="77777777">
        <w:trPr>
          <w:trHeight w:val="359"/>
        </w:trPr>
        <w:tc>
          <w:tcPr>
            <w:tcW w:w="3400" w:type="dxa"/>
            <w:tcBorders>
              <w:top w:val="single" w:sz="4" w:space="0" w:color="000000"/>
              <w:left w:val="single" w:sz="4" w:space="0" w:color="000000"/>
              <w:bottom w:val="single" w:sz="24" w:space="0" w:color="FFFFFF"/>
              <w:right w:val="single" w:sz="4" w:space="0" w:color="000000"/>
            </w:tcBorders>
            <w:shd w:val="clear" w:color="auto" w:fill="F2F2F2"/>
          </w:tcPr>
          <w:p w14:paraId="1EF64299" w14:textId="77777777" w:rsidR="008B4406" w:rsidRDefault="00F75208">
            <w:pPr>
              <w:spacing w:after="0" w:line="259" w:lineRule="auto"/>
              <w:ind w:left="0" w:firstLine="0"/>
            </w:pPr>
            <w:r>
              <w:rPr>
                <w:sz w:val="20"/>
              </w:rPr>
              <w:t xml:space="preserve">Karasinski, Tracy </w:t>
            </w:r>
          </w:p>
        </w:tc>
        <w:tc>
          <w:tcPr>
            <w:tcW w:w="4702" w:type="dxa"/>
            <w:tcBorders>
              <w:top w:val="single" w:sz="4" w:space="0" w:color="000000"/>
              <w:left w:val="single" w:sz="4" w:space="0" w:color="000000"/>
              <w:bottom w:val="single" w:sz="24" w:space="0" w:color="FFFFFF"/>
              <w:right w:val="single" w:sz="4" w:space="0" w:color="000000"/>
            </w:tcBorders>
            <w:shd w:val="clear" w:color="auto" w:fill="F2F2F2"/>
          </w:tcPr>
          <w:p w14:paraId="68659E34" w14:textId="77777777" w:rsidR="008B4406" w:rsidRDefault="00F75208">
            <w:pPr>
              <w:spacing w:after="0" w:line="259" w:lineRule="auto"/>
              <w:ind w:left="1" w:firstLine="0"/>
            </w:pPr>
            <w:r>
              <w:rPr>
                <w:sz w:val="20"/>
              </w:rPr>
              <w:t xml:space="preserve">Dean, Community Standards / Student Affairs </w:t>
            </w:r>
          </w:p>
        </w:tc>
        <w:tc>
          <w:tcPr>
            <w:tcW w:w="1139" w:type="dxa"/>
            <w:tcBorders>
              <w:top w:val="single" w:sz="4" w:space="0" w:color="000000"/>
              <w:left w:val="single" w:sz="4" w:space="0" w:color="000000"/>
              <w:bottom w:val="single" w:sz="24" w:space="0" w:color="FFFFFF"/>
              <w:right w:val="single" w:sz="4" w:space="0" w:color="000000"/>
            </w:tcBorders>
            <w:shd w:val="clear" w:color="auto" w:fill="F2F2F2"/>
          </w:tcPr>
          <w:p w14:paraId="1D731AB1" w14:textId="77777777" w:rsidR="008B4406" w:rsidRDefault="00F75208">
            <w:pPr>
              <w:spacing w:after="0" w:line="259" w:lineRule="auto"/>
              <w:ind w:left="0" w:right="8" w:firstLine="0"/>
              <w:jc w:val="center"/>
            </w:pPr>
            <w:r>
              <w:rPr>
                <w:sz w:val="20"/>
              </w:rPr>
              <w:t xml:space="preserve">n </w:t>
            </w:r>
          </w:p>
        </w:tc>
      </w:tr>
      <w:tr w:rsidR="008B4406" w14:paraId="1FEDE333" w14:textId="77777777">
        <w:trPr>
          <w:trHeight w:val="591"/>
        </w:trPr>
        <w:tc>
          <w:tcPr>
            <w:tcW w:w="3400" w:type="dxa"/>
            <w:tcBorders>
              <w:top w:val="single" w:sz="24" w:space="0" w:color="FFFFFF"/>
              <w:left w:val="single" w:sz="4" w:space="0" w:color="000000"/>
              <w:bottom w:val="single" w:sz="4" w:space="0" w:color="000000"/>
              <w:right w:val="single" w:sz="4" w:space="0" w:color="000000"/>
            </w:tcBorders>
          </w:tcPr>
          <w:p w14:paraId="4D2F2369" w14:textId="77777777" w:rsidR="008B4406" w:rsidRDefault="00F75208">
            <w:pPr>
              <w:spacing w:after="0" w:line="259" w:lineRule="auto"/>
              <w:ind w:left="0" w:firstLine="0"/>
            </w:pPr>
            <w:r>
              <w:rPr>
                <w:sz w:val="20"/>
              </w:rPr>
              <w:t xml:space="preserve">Joseph, Jacob </w:t>
            </w:r>
          </w:p>
        </w:tc>
        <w:tc>
          <w:tcPr>
            <w:tcW w:w="4702" w:type="dxa"/>
            <w:tcBorders>
              <w:top w:val="single" w:sz="24" w:space="0" w:color="FFFFFF"/>
              <w:left w:val="single" w:sz="4" w:space="0" w:color="000000"/>
              <w:bottom w:val="single" w:sz="4" w:space="0" w:color="000000"/>
              <w:right w:val="single" w:sz="4" w:space="0" w:color="000000"/>
            </w:tcBorders>
          </w:tcPr>
          <w:p w14:paraId="246E4472" w14:textId="77777777" w:rsidR="008B4406" w:rsidRDefault="00F75208">
            <w:pPr>
              <w:spacing w:after="0" w:line="259" w:lineRule="auto"/>
              <w:ind w:left="1" w:firstLine="0"/>
            </w:pPr>
            <w:r>
              <w:rPr>
                <w:sz w:val="20"/>
              </w:rPr>
              <w:t xml:space="preserve">Director, Industry Partnerships / Workforce Partnerships </w:t>
            </w:r>
          </w:p>
        </w:tc>
        <w:tc>
          <w:tcPr>
            <w:tcW w:w="1139" w:type="dxa"/>
            <w:tcBorders>
              <w:top w:val="single" w:sz="24" w:space="0" w:color="FFFFFF"/>
              <w:left w:val="single" w:sz="4" w:space="0" w:color="000000"/>
              <w:bottom w:val="single" w:sz="4" w:space="0" w:color="000000"/>
              <w:right w:val="single" w:sz="4" w:space="0" w:color="000000"/>
            </w:tcBorders>
          </w:tcPr>
          <w:p w14:paraId="35447FF6" w14:textId="77777777" w:rsidR="008B4406" w:rsidRDefault="00F75208">
            <w:pPr>
              <w:spacing w:after="0" w:line="259" w:lineRule="auto"/>
              <w:ind w:left="0" w:right="8" w:firstLine="0"/>
              <w:jc w:val="center"/>
            </w:pPr>
            <w:r>
              <w:rPr>
                <w:sz w:val="20"/>
              </w:rPr>
              <w:t xml:space="preserve">n </w:t>
            </w:r>
          </w:p>
        </w:tc>
      </w:tr>
      <w:tr w:rsidR="008B4406" w14:paraId="58D3BB3F" w14:textId="77777777">
        <w:trPr>
          <w:trHeight w:val="335"/>
        </w:trPr>
        <w:tc>
          <w:tcPr>
            <w:tcW w:w="3400" w:type="dxa"/>
            <w:tcBorders>
              <w:top w:val="single" w:sz="4" w:space="0" w:color="000000"/>
              <w:left w:val="single" w:sz="4" w:space="0" w:color="000000"/>
              <w:bottom w:val="single" w:sz="4" w:space="0" w:color="000000"/>
              <w:right w:val="single" w:sz="4" w:space="0" w:color="000000"/>
            </w:tcBorders>
            <w:shd w:val="clear" w:color="auto" w:fill="F2F2F2"/>
          </w:tcPr>
          <w:p w14:paraId="0431E569" w14:textId="77777777" w:rsidR="008B4406" w:rsidRDefault="00F75208">
            <w:pPr>
              <w:spacing w:after="0" w:line="259" w:lineRule="auto"/>
              <w:ind w:left="0" w:firstLine="0"/>
            </w:pPr>
            <w:r>
              <w:rPr>
                <w:sz w:val="20"/>
              </w:rPr>
              <w:t xml:space="preserve">Kevin (Guest) </w:t>
            </w:r>
          </w:p>
        </w:tc>
        <w:tc>
          <w:tcPr>
            <w:tcW w:w="4702" w:type="dxa"/>
            <w:tcBorders>
              <w:top w:val="single" w:sz="4" w:space="0" w:color="000000"/>
              <w:left w:val="single" w:sz="4" w:space="0" w:color="000000"/>
              <w:bottom w:val="single" w:sz="4" w:space="0" w:color="000000"/>
              <w:right w:val="single" w:sz="4" w:space="0" w:color="000000"/>
            </w:tcBorders>
            <w:shd w:val="clear" w:color="auto" w:fill="F2F2F2"/>
          </w:tcPr>
          <w:p w14:paraId="093AA45F" w14:textId="77777777" w:rsidR="008B4406" w:rsidRDefault="00F75208">
            <w:pPr>
              <w:spacing w:after="0" w:line="259" w:lineRule="auto"/>
              <w:ind w:left="1" w:firstLine="0"/>
            </w:pPr>
            <w:r>
              <w:rPr>
                <w:sz w:val="20"/>
              </w:rPr>
              <w:t xml:space="preserve">AI Ethics Best Practices Subcommittee </w:t>
            </w:r>
            <w:r>
              <w:rPr>
                <w:sz w:val="20"/>
              </w:rPr>
              <w:t>–</w:t>
            </w:r>
            <w:r>
              <w:rPr>
                <w:sz w:val="20"/>
              </w:rPr>
              <w:t xml:space="preserve"> presenter </w:t>
            </w:r>
          </w:p>
        </w:tc>
        <w:tc>
          <w:tcPr>
            <w:tcW w:w="1139" w:type="dxa"/>
            <w:tcBorders>
              <w:top w:val="single" w:sz="4" w:space="0" w:color="000000"/>
              <w:left w:val="single" w:sz="4" w:space="0" w:color="000000"/>
              <w:bottom w:val="single" w:sz="4" w:space="0" w:color="000000"/>
              <w:right w:val="single" w:sz="4" w:space="0" w:color="000000"/>
            </w:tcBorders>
            <w:shd w:val="clear" w:color="auto" w:fill="F2F2F2"/>
          </w:tcPr>
          <w:p w14:paraId="29C07EF8" w14:textId="77777777" w:rsidR="008B4406" w:rsidRDefault="00F75208">
            <w:pPr>
              <w:spacing w:after="0" w:line="259" w:lineRule="auto"/>
              <w:ind w:left="0" w:right="8" w:firstLine="0"/>
              <w:jc w:val="center"/>
            </w:pPr>
            <w:r>
              <w:rPr>
                <w:sz w:val="20"/>
              </w:rPr>
              <w:t xml:space="preserve">y </w:t>
            </w:r>
          </w:p>
        </w:tc>
      </w:tr>
    </w:tbl>
    <w:p w14:paraId="4DC340D8" w14:textId="77777777" w:rsidR="008B4406" w:rsidRDefault="00F75208">
      <w:pPr>
        <w:spacing w:after="212" w:line="259" w:lineRule="auto"/>
        <w:ind w:left="0" w:firstLine="0"/>
      </w:pPr>
      <w:r>
        <w:rPr>
          <w:b/>
          <w:color w:val="1F4E79"/>
          <w:sz w:val="30"/>
        </w:rPr>
        <w:t>AI Generated Meeting Summary</w:t>
      </w:r>
      <w:r>
        <w:rPr>
          <w:sz w:val="20"/>
        </w:rPr>
        <w:t xml:space="preserve"> </w:t>
      </w:r>
    </w:p>
    <w:p w14:paraId="569B79F5" w14:textId="77777777" w:rsidR="008B4406" w:rsidRDefault="00F75208">
      <w:pPr>
        <w:pStyle w:val="Heading1"/>
        <w:ind w:left="-5"/>
      </w:pPr>
      <w:r>
        <w:t>Overview</w:t>
      </w:r>
      <w:r>
        <w:rPr>
          <w:b w:val="0"/>
          <w:color w:val="000000"/>
          <w:sz w:val="20"/>
        </w:rPr>
        <w:t xml:space="preserve"> </w:t>
      </w:r>
    </w:p>
    <w:p w14:paraId="25A27D87" w14:textId="77777777" w:rsidR="008B4406" w:rsidRDefault="00F75208">
      <w:pPr>
        <w:spacing w:after="107"/>
        <w:ind w:left="0" w:firstLine="0"/>
      </w:pPr>
      <w:r>
        <w:t>Key participants included Chris Carruba (co-chair), Jim Bradley (co-</w:t>
      </w:r>
      <w:r>
        <w:t xml:space="preserve">chair), Leslie Killgore, Peter Bardsley, Gail Sidney, and Kevin, who presented on behalf of the AI Ethics Best Practices Subcommittee. The meeting centered </w:t>
      </w:r>
      <w:r>
        <w:t>on the ethics subcommittee’s bes</w:t>
      </w:r>
      <w:r>
        <w:t>t-practice findings for using student data with AI, an extended discussion of the risks and limits of anonymization, and how the college should govern AI in decision-making.</w:t>
      </w:r>
      <w:r>
        <w:rPr>
          <w:sz w:val="20"/>
        </w:rPr>
        <w:t xml:space="preserve"> </w:t>
      </w:r>
    </w:p>
    <w:p w14:paraId="65B66F7E" w14:textId="77777777" w:rsidR="008B4406" w:rsidRDefault="00F75208">
      <w:pPr>
        <w:spacing w:after="108"/>
        <w:ind w:left="0" w:firstLine="0"/>
      </w:pPr>
      <w:r>
        <w:t>The committee opened by approving the prior meeting summary (motion by Jim Bradley, seconded by Leslie Killgore) by a unanimous 5</w:t>
      </w:r>
      <w:r>
        <w:t>–</w:t>
      </w:r>
      <w:r>
        <w:t xml:space="preserve">0 vote. Chris Carruba introduced a new standing “action item review” agenda item </w:t>
      </w:r>
      <w:r>
        <w:t>intended to track ongoing tasks from meeting to meeting.</w:t>
      </w:r>
      <w:r>
        <w:rPr>
          <w:sz w:val="20"/>
        </w:rPr>
        <w:t xml:space="preserve"> </w:t>
      </w:r>
    </w:p>
    <w:p w14:paraId="22E0319B" w14:textId="77777777" w:rsidR="008B4406" w:rsidRDefault="00F75208">
      <w:pPr>
        <w:spacing w:after="108"/>
        <w:ind w:left="0" w:firstLine="0"/>
      </w:pPr>
      <w:r>
        <w:t xml:space="preserve">Gail Sidney and Kevin then presented the ethics subcommittee’s findings, framed explicitly as best practices and </w:t>
      </w:r>
      <w:r>
        <w:t>a lens for evaluating AI rather than a binding set of rules. Their work addressed three core questions: under what circumstances it is safe to use student data with AI tools, how the college should approach AI for decision-</w:t>
      </w:r>
      <w:r>
        <w:t xml:space="preserve">making and actionable suggestions, and how to institutionalize accountability for AI outputs. The findings </w:t>
      </w:r>
      <w:proofErr w:type="gramStart"/>
      <w:r>
        <w:t>drew</w:t>
      </w:r>
      <w:proofErr w:type="gramEnd"/>
      <w:r>
        <w:t xml:space="preserve"> </w:t>
      </w:r>
      <w:proofErr w:type="gramStart"/>
      <w:r>
        <w:t>on</w:t>
      </w:r>
      <w:proofErr w:type="gramEnd"/>
      <w:r>
        <w:t xml:space="preserve"> policies from other higher-education institutions, think-tank and state guidelines, and legal and academic publications.</w:t>
      </w:r>
      <w:r>
        <w:rPr>
          <w:sz w:val="20"/>
        </w:rPr>
        <w:t xml:space="preserve"> </w:t>
      </w:r>
    </w:p>
    <w:p w14:paraId="0DDBD251" w14:textId="77777777" w:rsidR="008B4406" w:rsidRDefault="00F75208">
      <w:pPr>
        <w:spacing w:after="108"/>
        <w:ind w:left="0" w:firstLine="0"/>
      </w:pPr>
      <w:r>
        <w:t xml:space="preserve">Much of the discussion focused on the gap between removing obvious identifiers and truly anonymizing data. Members explored how AI systems and vendors can draw and store inferences from metadata (such as IP addresses) that could re-identify </w:t>
      </w:r>
      <w:proofErr w:type="gramStart"/>
      <w:r>
        <w:t>students, and</w:t>
      </w:r>
      <w:proofErr w:type="gramEnd"/>
      <w:r>
        <w:t xml:space="preserve"> </w:t>
      </w:r>
      <w:r>
        <w:t xml:space="preserve">concluded that simple ID masking may be insufficient. The group discussed mitigations including a list of IT-vetted tools, a red/yellow/green data-classification framework, </w:t>
      </w:r>
      <w:proofErr w:type="spellStart"/>
      <w:r>
        <w:t>onpremises</w:t>
      </w:r>
      <w:proofErr w:type="spellEnd"/>
      <w:r>
        <w:t xml:space="preserve"> or in-</w:t>
      </w:r>
      <w:r>
        <w:t xml:space="preserve">tenant models, and vendor contracts that require providers to “stand in our shoes.” Leslie </w:t>
      </w:r>
      <w:r>
        <w:lastRenderedPageBreak/>
        <w:t xml:space="preserve">Killgore </w:t>
      </w:r>
      <w:r>
        <w:t xml:space="preserve">shared a concrete use case: uploading anonymized Achieving the Dream data to Claude to explore causes of </w:t>
      </w:r>
      <w:proofErr w:type="spellStart"/>
      <w:r>
        <w:t>zerocredit</w:t>
      </w:r>
      <w:proofErr w:type="spellEnd"/>
      <w:r>
        <w:t xml:space="preserve"> and non-returning students.</w:t>
      </w:r>
      <w:r>
        <w:rPr>
          <w:sz w:val="20"/>
        </w:rPr>
        <w:t xml:space="preserve"> </w:t>
      </w:r>
    </w:p>
    <w:p w14:paraId="45201A15" w14:textId="77777777" w:rsidR="008B4406" w:rsidRDefault="00F75208">
      <w:pPr>
        <w:ind w:left="0" w:firstLine="0"/>
      </w:pPr>
      <w:r>
        <w:t xml:space="preserve">The committee agreed to circulate the </w:t>
      </w:r>
      <w:proofErr w:type="gramStart"/>
      <w:r>
        <w:t>best-</w:t>
      </w:r>
      <w:r>
        <w:t>practices</w:t>
      </w:r>
      <w:proofErr w:type="gramEnd"/>
      <w:r>
        <w:t xml:space="preserve"> document more widely for feedback and to continue the discussion at the next meeting with additional expertise present. The meeting also touched on upcoming academic-integrity and AI-literacy work before adjourning.</w:t>
      </w:r>
      <w:r>
        <w:rPr>
          <w:sz w:val="20"/>
        </w:rPr>
        <w:t xml:space="preserve"> </w:t>
      </w:r>
    </w:p>
    <w:p w14:paraId="7B957B5B" w14:textId="77777777" w:rsidR="008B4406" w:rsidRDefault="00F75208">
      <w:pPr>
        <w:spacing w:after="230" w:line="259" w:lineRule="auto"/>
        <w:ind w:left="-5" w:hanging="10"/>
      </w:pPr>
      <w:r>
        <w:rPr>
          <w:b/>
          <w:color w:val="1F4E79"/>
          <w:sz w:val="28"/>
        </w:rPr>
        <w:t>Detailed Summary</w:t>
      </w:r>
      <w:r>
        <w:rPr>
          <w:sz w:val="20"/>
        </w:rPr>
        <w:t xml:space="preserve"> </w:t>
      </w:r>
    </w:p>
    <w:p w14:paraId="30AA4932" w14:textId="77777777" w:rsidR="008B4406" w:rsidRDefault="00F75208">
      <w:pPr>
        <w:pStyle w:val="Heading1"/>
        <w:ind w:left="-5"/>
      </w:pPr>
      <w:r>
        <w:t>Approval of Prior Summary and Action Item Review</w:t>
      </w:r>
      <w:r>
        <w:rPr>
          <w:b w:val="0"/>
          <w:color w:val="000000"/>
          <w:sz w:val="20"/>
        </w:rPr>
        <w:t xml:space="preserve"> </w:t>
      </w:r>
    </w:p>
    <w:p w14:paraId="0FC6D5D0" w14:textId="77777777" w:rsidR="008B4406" w:rsidRDefault="00F75208">
      <w:pPr>
        <w:spacing w:after="123"/>
        <w:ind w:left="0" w:firstLine="0"/>
      </w:pPr>
      <w:r>
        <w:t>The committee approved the previous meeting summary and adopted a new process for tracking follow-up items across meetings.</w:t>
      </w:r>
      <w:r>
        <w:rPr>
          <w:sz w:val="20"/>
        </w:rPr>
        <w:t xml:space="preserve"> </w:t>
      </w:r>
    </w:p>
    <w:p w14:paraId="5A054D73" w14:textId="77777777" w:rsidR="008B4406" w:rsidRDefault="00F75208">
      <w:pPr>
        <w:numPr>
          <w:ilvl w:val="0"/>
          <w:numId w:val="1"/>
        </w:numPr>
        <w:ind w:hanging="361"/>
      </w:pPr>
      <w:r>
        <w:t>The prior meeting summary was approved by a unanimous 5</w:t>
      </w:r>
      <w:r>
        <w:t>–</w:t>
      </w:r>
      <w:r>
        <w:t>0 vote, with the motion made by Jim Bradley and seconded by Leslie Killgore.</w:t>
      </w:r>
      <w:r>
        <w:rPr>
          <w:sz w:val="20"/>
        </w:rPr>
        <w:t xml:space="preserve"> </w:t>
      </w:r>
    </w:p>
    <w:p w14:paraId="18791A28" w14:textId="77777777" w:rsidR="008B4406" w:rsidRDefault="00F75208">
      <w:pPr>
        <w:numPr>
          <w:ilvl w:val="0"/>
          <w:numId w:val="1"/>
        </w:numPr>
        <w:ind w:hanging="361"/>
      </w:pPr>
      <w:r>
        <w:t xml:space="preserve">Chris Carruba introduced a recurring “action item review” agenda item to help the committee stay </w:t>
      </w:r>
      <w:r>
        <w:t>organized and keep track of work from one agenda to the next, inviting members to suggest additions or removals.</w:t>
      </w:r>
      <w:r>
        <w:rPr>
          <w:sz w:val="20"/>
        </w:rPr>
        <w:t xml:space="preserve"> </w:t>
      </w:r>
    </w:p>
    <w:p w14:paraId="78ED4127" w14:textId="77777777" w:rsidR="008B4406" w:rsidRDefault="00F75208">
      <w:pPr>
        <w:numPr>
          <w:ilvl w:val="0"/>
          <w:numId w:val="1"/>
        </w:numPr>
        <w:spacing w:after="302" w:line="250" w:lineRule="auto"/>
        <w:ind w:hanging="361"/>
      </w:pPr>
      <w:r>
        <w:t xml:space="preserve">Chris then handed the floor to Gail Sidney and Kevin to present the AI ethics subcommittee’s </w:t>
      </w:r>
      <w:proofErr w:type="spellStart"/>
      <w:r>
        <w:t>best</w:t>
      </w:r>
      <w:r>
        <w:t>practices</w:t>
      </w:r>
      <w:proofErr w:type="spellEnd"/>
      <w:r>
        <w:t xml:space="preserve"> findings.</w:t>
      </w:r>
      <w:r>
        <w:rPr>
          <w:sz w:val="20"/>
        </w:rPr>
        <w:t xml:space="preserve"> </w:t>
      </w:r>
    </w:p>
    <w:p w14:paraId="40E96017" w14:textId="77777777" w:rsidR="008B4406" w:rsidRDefault="00F75208">
      <w:pPr>
        <w:pStyle w:val="Heading1"/>
        <w:ind w:left="-5"/>
      </w:pPr>
      <w:r>
        <w:t>AI Ethics Best Practices: Scope and Core Questions</w:t>
      </w:r>
      <w:r>
        <w:rPr>
          <w:b w:val="0"/>
          <w:color w:val="000000"/>
          <w:sz w:val="20"/>
        </w:rPr>
        <w:t xml:space="preserve"> </w:t>
      </w:r>
    </w:p>
    <w:p w14:paraId="541833FC" w14:textId="77777777" w:rsidR="008B4406" w:rsidRDefault="00F75208">
      <w:pPr>
        <w:spacing w:after="118"/>
        <w:ind w:left="0" w:firstLine="0"/>
      </w:pPr>
      <w:r>
        <w:t xml:space="preserve">Gail Sidney and Kevin presented the subcommittee’s review of the ethical and legal liability concerns around </w:t>
      </w:r>
      <w:r>
        <w:t>student data and AI, acknowledging that the college already uses these tools and benefits from them, and aiming to ensure it does so as safely and securely as possible.</w:t>
      </w:r>
      <w:r>
        <w:rPr>
          <w:sz w:val="20"/>
        </w:rPr>
        <w:t xml:space="preserve"> </w:t>
      </w:r>
    </w:p>
    <w:p w14:paraId="3F8F3E63" w14:textId="77777777" w:rsidR="008B4406" w:rsidRDefault="00F75208">
      <w:pPr>
        <w:numPr>
          <w:ilvl w:val="0"/>
          <w:numId w:val="2"/>
        </w:numPr>
        <w:ind w:hanging="361"/>
      </w:pPr>
      <w:r>
        <w:t>The work was organized around three questions: when it is safe to use student data with AI tools, how to approach AI for decision-</w:t>
      </w:r>
      <w:r>
        <w:t>making and actionable suggestions involving student data, and a framework for institutionalizing accountability for AI outputs.</w:t>
      </w:r>
      <w:r>
        <w:rPr>
          <w:sz w:val="20"/>
        </w:rPr>
        <w:t xml:space="preserve"> </w:t>
      </w:r>
    </w:p>
    <w:p w14:paraId="75592EC2" w14:textId="77777777" w:rsidR="008B4406" w:rsidRDefault="00F75208">
      <w:pPr>
        <w:numPr>
          <w:ilvl w:val="0"/>
          <w:numId w:val="2"/>
        </w:numPr>
        <w:ind w:hanging="361"/>
      </w:pPr>
      <w:r>
        <w:t>The subcommittee reviewed policies from other higher-education institutions, think-tank and state guidance, and legal and academic publications, and connected the work to the strategic plan and the AI ICCC community resolution.</w:t>
      </w:r>
      <w:r>
        <w:rPr>
          <w:sz w:val="20"/>
        </w:rPr>
        <w:t xml:space="preserve"> </w:t>
      </w:r>
    </w:p>
    <w:p w14:paraId="7963BDA9" w14:textId="77777777" w:rsidR="008B4406" w:rsidRDefault="00F75208">
      <w:pPr>
        <w:numPr>
          <w:ilvl w:val="0"/>
          <w:numId w:val="2"/>
        </w:numPr>
        <w:ind w:hanging="361"/>
      </w:pPr>
      <w:r>
        <w:t>The guidance focuses primarily on generative AI, with some attention to agentic AI. It was repeatedly emphasized that the document is a set of best practices and a lens, not a binding set of rules.</w:t>
      </w:r>
      <w:r>
        <w:rPr>
          <w:sz w:val="20"/>
        </w:rPr>
        <w:t xml:space="preserve"> </w:t>
      </w:r>
    </w:p>
    <w:p w14:paraId="026FFFE6" w14:textId="77777777" w:rsidR="008B4406" w:rsidRDefault="00F75208">
      <w:pPr>
        <w:numPr>
          <w:ilvl w:val="0"/>
          <w:numId w:val="2"/>
        </w:numPr>
        <w:spacing w:after="308"/>
        <w:ind w:hanging="361"/>
      </w:pPr>
      <w:r>
        <w:t>Members noted the document references GDPR; there was discussion that the college is not legally bound by GDPR (a European law) but that it can be treated as a useful set of guidelines. This is best practice, not a legal requirement.</w:t>
      </w:r>
      <w:r>
        <w:rPr>
          <w:sz w:val="20"/>
        </w:rPr>
        <w:t xml:space="preserve"> </w:t>
      </w:r>
    </w:p>
    <w:p w14:paraId="1DB8C5A4" w14:textId="77777777" w:rsidR="008B4406" w:rsidRDefault="00F75208">
      <w:pPr>
        <w:pStyle w:val="Heading1"/>
        <w:ind w:left="-5"/>
      </w:pPr>
      <w:r>
        <w:t>AI in Decision-Making and Actionable Suggestions</w:t>
      </w:r>
      <w:r>
        <w:rPr>
          <w:b w:val="0"/>
          <w:color w:val="000000"/>
          <w:sz w:val="20"/>
        </w:rPr>
        <w:t xml:space="preserve"> </w:t>
      </w:r>
    </w:p>
    <w:p w14:paraId="5482E910" w14:textId="77777777" w:rsidR="008B4406" w:rsidRDefault="00F75208">
      <w:pPr>
        <w:spacing w:after="116"/>
        <w:ind w:left="0" w:firstLine="0"/>
      </w:pPr>
      <w:r>
        <w:t>The group discussed where AI should and should not be trusted to influence outcomes that affect students.</w:t>
      </w:r>
      <w:r>
        <w:rPr>
          <w:sz w:val="20"/>
        </w:rPr>
        <w:t xml:space="preserve"> </w:t>
      </w:r>
    </w:p>
    <w:p w14:paraId="3D33FC67" w14:textId="77777777" w:rsidR="008B4406" w:rsidRDefault="00F75208">
      <w:pPr>
        <w:numPr>
          <w:ilvl w:val="0"/>
          <w:numId w:val="3"/>
        </w:numPr>
        <w:ind w:hanging="361"/>
      </w:pPr>
      <w:r>
        <w:t>The subcommittee concluded that AI should not currently be trusted to make decisions on its own, and that agentic AI should be pursued with extreme caution</w:t>
      </w:r>
      <w:r>
        <w:t>—</w:t>
      </w:r>
      <w:r>
        <w:t xml:space="preserve">though the college already uses it in at least one </w:t>
      </w:r>
      <w:r>
        <w:t>system (referenced as “element 0451”).</w:t>
      </w:r>
      <w:r>
        <w:rPr>
          <w:sz w:val="20"/>
        </w:rPr>
        <w:t xml:space="preserve"> </w:t>
      </w:r>
    </w:p>
    <w:p w14:paraId="0E66E359" w14:textId="77777777" w:rsidR="008B4406" w:rsidRDefault="00F75208">
      <w:pPr>
        <w:numPr>
          <w:ilvl w:val="0"/>
          <w:numId w:val="3"/>
        </w:numPr>
        <w:spacing w:after="85" w:line="241" w:lineRule="auto"/>
        <w:ind w:hanging="361"/>
      </w:pPr>
      <w:r>
        <w:t>The distinction between “actionable suggestions” and “decision</w:t>
      </w:r>
      <w:r>
        <w:t>-</w:t>
      </w:r>
      <w:r>
        <w:t xml:space="preserve">making” was intentional, because it can </w:t>
      </w:r>
      <w:r>
        <w:t>be a slippery slope from a suggestion an employee acts on to the AI effectively directing a decision.</w:t>
      </w:r>
      <w:r>
        <w:rPr>
          <w:sz w:val="20"/>
        </w:rPr>
        <w:t xml:space="preserve"> </w:t>
      </w:r>
    </w:p>
    <w:p w14:paraId="1C2C7E56" w14:textId="77777777" w:rsidR="008B4406" w:rsidRDefault="00F75208">
      <w:pPr>
        <w:numPr>
          <w:ilvl w:val="0"/>
          <w:numId w:val="3"/>
        </w:numPr>
        <w:ind w:hanging="361"/>
      </w:pPr>
      <w:r>
        <w:t xml:space="preserve">Persistent concerns included factual errors, hallucinations, and bias. The recommendation is that generative and agentic AI should not be used for actionable suggestions or decisions that could negatively impact </w:t>
      </w:r>
      <w:proofErr w:type="gramStart"/>
      <w:r>
        <w:t>students</w:t>
      </w:r>
      <w:r>
        <w:t>—</w:t>
      </w:r>
      <w:proofErr w:type="gramEnd"/>
      <w:r>
        <w:t>for example by withholding opportunities or harming their academic prospects.</w:t>
      </w:r>
      <w:r>
        <w:rPr>
          <w:sz w:val="20"/>
        </w:rPr>
        <w:t xml:space="preserve"> </w:t>
      </w:r>
    </w:p>
    <w:p w14:paraId="71F77B23" w14:textId="77777777" w:rsidR="008B4406" w:rsidRDefault="00F75208">
      <w:pPr>
        <w:numPr>
          <w:ilvl w:val="0"/>
          <w:numId w:val="3"/>
        </w:numPr>
        <w:spacing w:after="303"/>
        <w:ind w:hanging="361"/>
      </w:pPr>
      <w:r>
        <w:lastRenderedPageBreak/>
        <w:t>If the college formally uses AI for any decision-</w:t>
      </w:r>
      <w:r>
        <w:t>making process, it should take full institutional responsibility for those outputs. Research indicates that when public-sector AI decisions go wrong, blame often falls on the individual employee even though the institution chose to deploy the tool.</w:t>
      </w:r>
      <w:r>
        <w:rPr>
          <w:sz w:val="20"/>
        </w:rPr>
        <w:t xml:space="preserve"> </w:t>
      </w:r>
    </w:p>
    <w:p w14:paraId="3E3BDC02" w14:textId="77777777" w:rsidR="008B4406" w:rsidRDefault="00F75208">
      <w:pPr>
        <w:pStyle w:val="Heading1"/>
        <w:ind w:left="-5"/>
      </w:pPr>
      <w:r>
        <w:t>Use Case: Anonymized Student Data and Claude (Achieving the Dream)</w:t>
      </w:r>
      <w:r>
        <w:rPr>
          <w:b w:val="0"/>
          <w:color w:val="000000"/>
          <w:sz w:val="20"/>
        </w:rPr>
        <w:t xml:space="preserve"> </w:t>
      </w:r>
    </w:p>
    <w:p w14:paraId="197420F4" w14:textId="77777777" w:rsidR="008B4406" w:rsidRDefault="00F75208">
      <w:pPr>
        <w:ind w:left="0" w:firstLine="0"/>
      </w:pPr>
      <w:r>
        <w:t>Leslie Killgore offered a working example that illustrated where the guidance applies in practice.</w:t>
      </w:r>
      <w:r>
        <w:rPr>
          <w:sz w:val="20"/>
        </w:rPr>
        <w:t xml:space="preserve"> </w:t>
      </w:r>
    </w:p>
    <w:p w14:paraId="1720FD85" w14:textId="77777777" w:rsidR="008B4406" w:rsidRDefault="00F75208">
      <w:pPr>
        <w:spacing w:after="76" w:line="250" w:lineRule="auto"/>
        <w:ind w:left="721" w:firstLine="0"/>
      </w:pPr>
      <w:r>
        <w:t xml:space="preserve">Institutional Effectiveness developed a dataset to explore why students earn zero credits in their first </w:t>
      </w:r>
      <w:r>
        <w:t>semester or fail to return the following fall. At Mary Anne’s (BPA) request, Leslie did additional analysis.</w:t>
      </w:r>
      <w:r>
        <w:rPr>
          <w:sz w:val="20"/>
        </w:rPr>
        <w:t xml:space="preserve"> </w:t>
      </w:r>
    </w:p>
    <w:p w14:paraId="67AA98BA" w14:textId="77777777" w:rsidR="008B4406" w:rsidRDefault="00F75208">
      <w:pPr>
        <w:numPr>
          <w:ilvl w:val="0"/>
          <w:numId w:val="4"/>
        </w:numPr>
        <w:ind w:hanging="361"/>
      </w:pPr>
      <w:r>
        <w:t>Leslie anonymized the data by masking student IDs and removing names and email addresses, then uploaded it to Claude for an open-ended, exploratory conversation about differences between zero-credit and non-zero-credit students.</w:t>
      </w:r>
      <w:r>
        <w:rPr>
          <w:sz w:val="20"/>
        </w:rPr>
        <w:t xml:space="preserve"> </w:t>
      </w:r>
    </w:p>
    <w:p w14:paraId="16B2075E" w14:textId="77777777" w:rsidR="008B4406" w:rsidRDefault="00F75208">
      <w:pPr>
        <w:numPr>
          <w:ilvl w:val="0"/>
          <w:numId w:val="4"/>
        </w:numPr>
        <w:ind w:hanging="361"/>
      </w:pPr>
      <w:r>
        <w:t>She asked the AI to perform validity checking with statistical rigor</w:t>
      </w:r>
      <w:r>
        <w:t>—</w:t>
      </w:r>
      <w:r>
        <w:t>chi-square tests and logistic regression</w:t>
      </w:r>
      <w:r>
        <w:t>—</w:t>
      </w:r>
      <w:r>
        <w:t>for example finding that first-generation status and Pell eligibility were both independently significant contributors to zero credit.</w:t>
      </w:r>
      <w:r>
        <w:rPr>
          <w:sz w:val="20"/>
        </w:rPr>
        <w:t xml:space="preserve"> </w:t>
      </w:r>
    </w:p>
    <w:p w14:paraId="46D154EC" w14:textId="77777777" w:rsidR="008B4406" w:rsidRDefault="00F75208">
      <w:pPr>
        <w:numPr>
          <w:ilvl w:val="0"/>
          <w:numId w:val="4"/>
        </w:numPr>
        <w:ind w:hanging="361"/>
      </w:pPr>
      <w:r>
        <w:t>She raised the central question: while this is useful at a discussion level, at some point someone must verify the underlying math, and the committee needs to decide when it is acceptable to rely on AI calculations without independent verification.</w:t>
      </w:r>
      <w:r>
        <w:rPr>
          <w:sz w:val="20"/>
        </w:rPr>
        <w:t xml:space="preserve"> </w:t>
      </w:r>
    </w:p>
    <w:p w14:paraId="67B3CF47" w14:textId="77777777" w:rsidR="008B4406" w:rsidRDefault="00F75208">
      <w:pPr>
        <w:numPr>
          <w:ilvl w:val="0"/>
          <w:numId w:val="4"/>
        </w:numPr>
        <w:spacing w:after="308"/>
        <w:ind w:hanging="361"/>
      </w:pPr>
      <w:r>
        <w:t xml:space="preserve">Members discussed the line between guiding a discussion (asking the AI for feedback) and relying on the </w:t>
      </w:r>
      <w:r>
        <w:t>AI’s outputs for decisions—</w:t>
      </w:r>
      <w:r>
        <w:t>concluding that even a mediated reliance on AI-computed significance is still, in effect, trusting AI in the decision process, which underscores the need for transparency into how it reaches conclusions.</w:t>
      </w:r>
      <w:r>
        <w:rPr>
          <w:sz w:val="20"/>
        </w:rPr>
        <w:t xml:space="preserve"> </w:t>
      </w:r>
    </w:p>
    <w:p w14:paraId="7823C60F" w14:textId="77777777" w:rsidR="008B4406" w:rsidRDefault="00F75208">
      <w:pPr>
        <w:pStyle w:val="Heading1"/>
        <w:ind w:left="-5"/>
      </w:pPr>
      <w:r>
        <w:t>Anonymization, Metadata, and Inference Risk</w:t>
      </w:r>
      <w:r>
        <w:rPr>
          <w:b w:val="0"/>
          <w:color w:val="000000"/>
          <w:sz w:val="20"/>
        </w:rPr>
        <w:t xml:space="preserve"> </w:t>
      </w:r>
    </w:p>
    <w:p w14:paraId="0F72238A" w14:textId="77777777" w:rsidR="008B4406" w:rsidRDefault="00F75208">
      <w:pPr>
        <w:spacing w:after="117" w:line="250" w:lineRule="auto"/>
        <w:ind w:left="0" w:firstLine="0"/>
      </w:pPr>
      <w:r>
        <w:t>A major thread was whether standard de-</w:t>
      </w:r>
      <w:r>
        <w:t xml:space="preserve">identification is sufficient given AI’s ability to draw and store </w:t>
      </w:r>
      <w:r>
        <w:t>inferences.</w:t>
      </w:r>
      <w:r>
        <w:rPr>
          <w:sz w:val="20"/>
        </w:rPr>
        <w:t xml:space="preserve"> </w:t>
      </w:r>
    </w:p>
    <w:p w14:paraId="28CA22CD" w14:textId="77777777" w:rsidR="008B4406" w:rsidRDefault="00F75208">
      <w:pPr>
        <w:numPr>
          <w:ilvl w:val="0"/>
          <w:numId w:val="5"/>
        </w:numPr>
        <w:ind w:hanging="361"/>
      </w:pPr>
      <w:r>
        <w:t>The subcommittee was concerned not only with student data but with metadata and the inferences AI can make from it, which can be resurfaced</w:t>
      </w:r>
      <w:r>
        <w:t>—</w:t>
      </w:r>
      <w:r>
        <w:t>maliciously or accidentally</w:t>
      </w:r>
      <w:r>
        <w:t>—</w:t>
      </w:r>
      <w:r>
        <w:t>in many ways.</w:t>
      </w:r>
      <w:r>
        <w:rPr>
          <w:sz w:val="20"/>
        </w:rPr>
        <w:t xml:space="preserve"> </w:t>
      </w:r>
    </w:p>
    <w:p w14:paraId="6DA5D8C1" w14:textId="77777777" w:rsidR="008B4406" w:rsidRDefault="00F75208">
      <w:pPr>
        <w:numPr>
          <w:ilvl w:val="0"/>
          <w:numId w:val="5"/>
        </w:numPr>
        <w:ind w:hanging="361"/>
      </w:pPr>
      <w:r>
        <w:t xml:space="preserve">Masking IDs and removing names and addresses may not be sufficient; remaining attributes (birth year, prior school, enrollment year) can still enable re-identification. Members acknowledged these are </w:t>
      </w:r>
      <w:proofErr w:type="spellStart"/>
      <w:r>
        <w:t>blackbox</w:t>
      </w:r>
      <w:proofErr w:type="spellEnd"/>
      <w:r>
        <w:t xml:space="preserve"> systems, so the exact risk is uncertain.</w:t>
      </w:r>
      <w:r>
        <w:rPr>
          <w:sz w:val="20"/>
        </w:rPr>
        <w:t xml:space="preserve"> </w:t>
      </w:r>
    </w:p>
    <w:p w14:paraId="0E794C7E" w14:textId="77777777" w:rsidR="008B4406" w:rsidRDefault="00F75208">
      <w:pPr>
        <w:numPr>
          <w:ilvl w:val="0"/>
          <w:numId w:val="5"/>
        </w:numPr>
        <w:ind w:hanging="361"/>
      </w:pPr>
      <w:r>
        <w:t>A worst-</w:t>
      </w:r>
      <w:r>
        <w:t xml:space="preserve">case example was discussed: a student mentioning an undocumented parent in a financial-aid context, where a vendor or subcontractor could store the inference (not the raw data), combine it with the </w:t>
      </w:r>
      <w:r>
        <w:t>student’s IP address and purchased third</w:t>
      </w:r>
      <w:r>
        <w:t>-party data, and attach a rough location and ethnicity</w:t>
      </w:r>
      <w:r>
        <w:t>—</w:t>
      </w:r>
      <w:r>
        <w:t>illustrating how quickly inference risk compounds.</w:t>
      </w:r>
      <w:r>
        <w:rPr>
          <w:sz w:val="20"/>
        </w:rPr>
        <w:t xml:space="preserve"> </w:t>
      </w:r>
    </w:p>
    <w:p w14:paraId="5E78324C" w14:textId="77777777" w:rsidR="008B4406" w:rsidRDefault="00F75208">
      <w:pPr>
        <w:numPr>
          <w:ilvl w:val="0"/>
          <w:numId w:val="5"/>
        </w:numPr>
        <w:spacing w:after="308"/>
        <w:ind w:hanging="361"/>
      </w:pPr>
      <w:r>
        <w:t>This prompted the concern that if inference is that powerful, scrubbing IDs may be inadequate; the response was that vetted tools with contractual data-</w:t>
      </w:r>
      <w:r>
        <w:t xml:space="preserve">use agreements are currently the safest option, and that the college should focus its strongest </w:t>
      </w:r>
      <w:proofErr w:type="gramStart"/>
      <w:r>
        <w:t>protections</w:t>
      </w:r>
      <w:proofErr w:type="gramEnd"/>
      <w:r>
        <w:t xml:space="preserve"> on legally protected student data.</w:t>
      </w:r>
      <w:r>
        <w:rPr>
          <w:sz w:val="20"/>
        </w:rPr>
        <w:t xml:space="preserve"> </w:t>
      </w:r>
    </w:p>
    <w:p w14:paraId="442E741D" w14:textId="77777777" w:rsidR="008B4406" w:rsidRDefault="00F75208">
      <w:pPr>
        <w:pStyle w:val="Heading1"/>
        <w:ind w:left="-5"/>
      </w:pPr>
      <w:r>
        <w:t>Recommended Safeguards and Governance</w:t>
      </w:r>
      <w:r>
        <w:rPr>
          <w:b w:val="0"/>
          <w:color w:val="000000"/>
          <w:sz w:val="20"/>
        </w:rPr>
        <w:t xml:space="preserve"> </w:t>
      </w:r>
    </w:p>
    <w:p w14:paraId="45294298" w14:textId="77777777" w:rsidR="008B4406" w:rsidRDefault="00F75208">
      <w:pPr>
        <w:spacing w:after="121"/>
        <w:ind w:left="0" w:firstLine="0"/>
      </w:pPr>
      <w:r>
        <w:t>The subcommittee proposed a set of best practices for engaging student data with AI.</w:t>
      </w:r>
      <w:r>
        <w:rPr>
          <w:sz w:val="20"/>
        </w:rPr>
        <w:t xml:space="preserve"> </w:t>
      </w:r>
    </w:p>
    <w:p w14:paraId="5AEC94B0" w14:textId="77777777" w:rsidR="008B4406" w:rsidRDefault="00F75208">
      <w:pPr>
        <w:numPr>
          <w:ilvl w:val="0"/>
          <w:numId w:val="6"/>
        </w:numPr>
        <w:ind w:hanging="361"/>
      </w:pPr>
      <w:r>
        <w:t>Maintain a list of IT-vetted tools; student data should not be entered into AI outside that list.</w:t>
      </w:r>
      <w:r>
        <w:rPr>
          <w:sz w:val="20"/>
        </w:rPr>
        <w:t xml:space="preserve"> </w:t>
      </w:r>
    </w:p>
    <w:p w14:paraId="41110B1D" w14:textId="77777777" w:rsidR="008B4406" w:rsidRDefault="00F75208">
      <w:pPr>
        <w:numPr>
          <w:ilvl w:val="0"/>
          <w:numId w:val="6"/>
        </w:numPr>
        <w:ind w:hanging="361"/>
      </w:pPr>
      <w:r>
        <w:t>Adopt a data risk-</w:t>
      </w:r>
      <w:r>
        <w:t xml:space="preserve">classification system (e.g., red/yellow/green, high/medium/low) so the college can decide which categories of student data each AI can </w:t>
      </w:r>
      <w:proofErr w:type="gramStart"/>
      <w:r>
        <w:t>access,</w:t>
      </w:r>
      <w:proofErr w:type="gramEnd"/>
      <w:r>
        <w:t xml:space="preserve"> balancing risk and benefit</w:t>
      </w:r>
      <w:r>
        <w:t>—</w:t>
      </w:r>
      <w:r>
        <w:t>effectively a threat matrix.</w:t>
      </w:r>
      <w:r>
        <w:rPr>
          <w:sz w:val="20"/>
        </w:rPr>
        <w:t xml:space="preserve"> </w:t>
      </w:r>
    </w:p>
    <w:p w14:paraId="45E435F2" w14:textId="77777777" w:rsidR="008B4406" w:rsidRDefault="00F75208">
      <w:pPr>
        <w:numPr>
          <w:ilvl w:val="0"/>
          <w:numId w:val="6"/>
        </w:numPr>
        <w:ind w:hanging="361"/>
      </w:pPr>
      <w:r>
        <w:lastRenderedPageBreak/>
        <w:t>Pursue maximal transparency</w:t>
      </w:r>
      <w:r>
        <w:t>—</w:t>
      </w:r>
      <w:r>
        <w:t xml:space="preserve">both </w:t>
      </w:r>
      <w:proofErr w:type="gramStart"/>
      <w:r>
        <w:t>into</w:t>
      </w:r>
      <w:proofErr w:type="gramEnd"/>
      <w:r>
        <w:t xml:space="preserve"> the steps the AI takes and from vendors regarding data security, transferability, and model-training practices.</w:t>
      </w:r>
      <w:r>
        <w:rPr>
          <w:sz w:val="20"/>
        </w:rPr>
        <w:t xml:space="preserve"> </w:t>
      </w:r>
    </w:p>
    <w:p w14:paraId="5EF659A8" w14:textId="77777777" w:rsidR="008B4406" w:rsidRDefault="00F75208">
      <w:pPr>
        <w:numPr>
          <w:ilvl w:val="0"/>
          <w:numId w:val="6"/>
        </w:numPr>
        <w:ind w:hanging="361"/>
      </w:pPr>
      <w:r>
        <w:t>Require student-</w:t>
      </w:r>
      <w:r>
        <w:t>facing disclaimers when students engage AI systems, including transparency about whether and how many real people may read their inputs, since students often default to believing they spoke with a human.</w:t>
      </w:r>
      <w:r>
        <w:rPr>
          <w:sz w:val="20"/>
        </w:rPr>
        <w:t xml:space="preserve"> </w:t>
      </w:r>
    </w:p>
    <w:p w14:paraId="2BDA6C95" w14:textId="77777777" w:rsidR="008B4406" w:rsidRDefault="00F75208">
      <w:pPr>
        <w:numPr>
          <w:ilvl w:val="0"/>
          <w:numId w:val="6"/>
        </w:numPr>
        <w:ind w:hanging="361"/>
      </w:pPr>
      <w:r>
        <w:t>Approve AI systems at a high level in the college with cross-departmental input, dovetailing with a support-software policy in progress in the Technology and Data Committee.</w:t>
      </w:r>
      <w:r>
        <w:rPr>
          <w:sz w:val="20"/>
        </w:rPr>
        <w:t xml:space="preserve"> </w:t>
      </w:r>
    </w:p>
    <w:p w14:paraId="75844ED7" w14:textId="77777777" w:rsidR="008B4406" w:rsidRDefault="008B4406">
      <w:pPr>
        <w:sectPr w:rsidR="008B4406">
          <w:headerReference w:type="even" r:id="rId7"/>
          <w:headerReference w:type="default" r:id="rId8"/>
          <w:headerReference w:type="first" r:id="rId9"/>
          <w:pgSz w:w="12240" w:h="15840"/>
          <w:pgMar w:top="1133" w:right="1080" w:bottom="1458" w:left="1081" w:header="720" w:footer="720" w:gutter="0"/>
          <w:cols w:space="720"/>
          <w:titlePg/>
        </w:sectPr>
      </w:pPr>
    </w:p>
    <w:p w14:paraId="6FD18F94" w14:textId="77777777" w:rsidR="008B4406" w:rsidRDefault="00F75208">
      <w:pPr>
        <w:ind w:left="721" w:firstLine="0"/>
      </w:pPr>
      <w:r>
        <w:lastRenderedPageBreak/>
        <w:t>Consider on-premises or in-</w:t>
      </w:r>
      <w:r>
        <w:t>tenant models (as at URI, and Microsoft Copilot within the college tenant), which keep data under institutional control and can reduce security and liability risk; anonymize student data as much as the use case allows.</w:t>
      </w:r>
      <w:r>
        <w:rPr>
          <w:sz w:val="20"/>
        </w:rPr>
        <w:t xml:space="preserve"> </w:t>
      </w:r>
    </w:p>
    <w:p w14:paraId="557E1C2C" w14:textId="77777777" w:rsidR="008B4406" w:rsidRDefault="00F75208">
      <w:pPr>
        <w:numPr>
          <w:ilvl w:val="0"/>
          <w:numId w:val="6"/>
        </w:numPr>
        <w:spacing w:after="307" w:line="250" w:lineRule="auto"/>
        <w:ind w:hanging="361"/>
      </w:pPr>
      <w:r>
        <w:t xml:space="preserve">Strengthen vendor accountability through agreements (business associate agreements / “stand in our shoes”) that bind vendors to the college’s responsibilities and controls; members noted there is currently </w:t>
      </w:r>
      <w:r>
        <w:t>no time limit on liability, so exposure can resurface years later.</w:t>
      </w:r>
      <w:r>
        <w:rPr>
          <w:sz w:val="20"/>
        </w:rPr>
        <w:t xml:space="preserve"> </w:t>
      </w:r>
    </w:p>
    <w:p w14:paraId="620BA41E" w14:textId="77777777" w:rsidR="008B4406" w:rsidRDefault="00F75208">
      <w:pPr>
        <w:pStyle w:val="Heading1"/>
        <w:ind w:left="-5"/>
      </w:pPr>
      <w:r>
        <w:t>Data Categories and Distinctions</w:t>
      </w:r>
      <w:r>
        <w:rPr>
          <w:b w:val="0"/>
          <w:color w:val="000000"/>
          <w:sz w:val="20"/>
        </w:rPr>
        <w:t xml:space="preserve"> </w:t>
      </w:r>
    </w:p>
    <w:p w14:paraId="73A3EE75" w14:textId="77777777" w:rsidR="008B4406" w:rsidRDefault="00F75208">
      <w:pPr>
        <w:spacing w:after="116"/>
        <w:ind w:left="0" w:firstLine="0"/>
      </w:pPr>
      <w:r>
        <w:t>Jim Bradley outlined how the level of concern depends on the type of data involved.</w:t>
      </w:r>
      <w:r>
        <w:rPr>
          <w:sz w:val="20"/>
        </w:rPr>
        <w:t xml:space="preserve"> </w:t>
      </w:r>
    </w:p>
    <w:p w14:paraId="72FFFD5B" w14:textId="77777777" w:rsidR="008B4406" w:rsidRDefault="00F75208">
      <w:pPr>
        <w:numPr>
          <w:ilvl w:val="0"/>
          <w:numId w:val="7"/>
        </w:numPr>
        <w:ind w:hanging="361"/>
      </w:pPr>
      <w:r>
        <w:t>Publicly available/published data (e.g., a leadership web page) carries very little restriction on how it can be used with AI.</w:t>
      </w:r>
      <w:r>
        <w:rPr>
          <w:sz w:val="20"/>
        </w:rPr>
        <w:t xml:space="preserve"> </w:t>
      </w:r>
    </w:p>
    <w:p w14:paraId="61A779D4" w14:textId="77777777" w:rsidR="008B4406" w:rsidRDefault="00F75208">
      <w:pPr>
        <w:numPr>
          <w:ilvl w:val="0"/>
          <w:numId w:val="7"/>
        </w:numPr>
        <w:ind w:hanging="361"/>
      </w:pPr>
      <w:r>
        <w:t>Institutional/public data at a state-funded, taxpayer-supported institution is generally accessible to any citizen and is of lower concern.</w:t>
      </w:r>
      <w:r>
        <w:rPr>
          <w:sz w:val="20"/>
        </w:rPr>
        <w:t xml:space="preserve"> </w:t>
      </w:r>
    </w:p>
    <w:p w14:paraId="70F997E6" w14:textId="77777777" w:rsidR="008B4406" w:rsidRDefault="00F75208">
      <w:pPr>
        <w:numPr>
          <w:ilvl w:val="0"/>
          <w:numId w:val="7"/>
        </w:numPr>
        <w:ind w:hanging="361"/>
      </w:pPr>
      <w:r>
        <w:t xml:space="preserve">Student data carries elevated legal </w:t>
      </w:r>
      <w:proofErr w:type="gramStart"/>
      <w:r>
        <w:t>protections</w:t>
      </w:r>
      <w:proofErr w:type="gramEnd"/>
      <w:r>
        <w:t xml:space="preserve"> (PII and related rules the college does not control) and warrants the most caution; this is where guidance is most urgently needed.</w:t>
      </w:r>
      <w:r>
        <w:rPr>
          <w:sz w:val="20"/>
        </w:rPr>
        <w:t xml:space="preserve"> </w:t>
      </w:r>
    </w:p>
    <w:p w14:paraId="3245433F" w14:textId="77777777" w:rsidR="008B4406" w:rsidRDefault="00F75208">
      <w:pPr>
        <w:numPr>
          <w:ilvl w:val="0"/>
          <w:numId w:val="7"/>
        </w:numPr>
        <w:spacing w:after="308"/>
        <w:ind w:hanging="361"/>
      </w:pPr>
      <w:r>
        <w:t xml:space="preserve">Members flagged that AI is now embedded in nearly every product the college buys (including </w:t>
      </w:r>
      <w:proofErr w:type="spellStart"/>
      <w:r>
        <w:t>next</w:t>
      </w:r>
      <w:r>
        <w:t>generation</w:t>
      </w:r>
      <w:proofErr w:type="spellEnd"/>
      <w:r>
        <w:t xml:space="preserve"> Banner / Ellucian’s “Solution Student,” which can dynamically repackage financial aid), </w:t>
      </w:r>
      <w:r>
        <w:t>which makes bias in training data and legal implications harder to isolate and manage.</w:t>
      </w:r>
      <w:r>
        <w:rPr>
          <w:sz w:val="20"/>
        </w:rPr>
        <w:t xml:space="preserve"> </w:t>
      </w:r>
    </w:p>
    <w:p w14:paraId="2631A8EC" w14:textId="77777777" w:rsidR="008B4406" w:rsidRDefault="00F75208">
      <w:pPr>
        <w:pStyle w:val="Heading1"/>
        <w:ind w:left="-5"/>
      </w:pPr>
      <w:r>
        <w:t>Institutional and Employee Responsibilities, and Education</w:t>
      </w:r>
      <w:r>
        <w:rPr>
          <w:b w:val="0"/>
          <w:color w:val="000000"/>
          <w:sz w:val="20"/>
        </w:rPr>
        <w:t xml:space="preserve"> </w:t>
      </w:r>
    </w:p>
    <w:p w14:paraId="5A2A21D3" w14:textId="77777777" w:rsidR="008B4406" w:rsidRDefault="00F75208">
      <w:pPr>
        <w:spacing w:after="119" w:line="250" w:lineRule="auto"/>
        <w:ind w:left="0" w:firstLine="0"/>
      </w:pPr>
      <w:r>
        <w:t>The subcommittee’s final section addressed the human and organizational side of responsible AI use.</w:t>
      </w:r>
      <w:r>
        <w:rPr>
          <w:sz w:val="20"/>
        </w:rPr>
        <w:t xml:space="preserve"> </w:t>
      </w:r>
    </w:p>
    <w:p w14:paraId="1D608F6B" w14:textId="77777777" w:rsidR="008B4406" w:rsidRDefault="00F75208">
      <w:pPr>
        <w:numPr>
          <w:ilvl w:val="0"/>
          <w:numId w:val="8"/>
        </w:numPr>
        <w:ind w:hanging="361"/>
      </w:pPr>
      <w:r>
        <w:t xml:space="preserve">Employees are more empowered and creative when they control the cadence and frequency of requests (a </w:t>
      </w:r>
      <w:r>
        <w:t>“centaur” model) rather than having AI direct the workflow (“reverse</w:t>
      </w:r>
      <w:r>
        <w:t>-</w:t>
      </w:r>
      <w:r>
        <w:t>centaur”).</w:t>
      </w:r>
      <w:r>
        <w:rPr>
          <w:sz w:val="20"/>
        </w:rPr>
        <w:t xml:space="preserve"> </w:t>
      </w:r>
    </w:p>
    <w:p w14:paraId="1C6AC7B3" w14:textId="77777777" w:rsidR="008B4406" w:rsidRDefault="00F75208">
      <w:pPr>
        <w:numPr>
          <w:ilvl w:val="0"/>
          <w:numId w:val="8"/>
        </w:numPr>
        <w:ind w:hanging="361"/>
      </w:pPr>
      <w:r>
        <w:t xml:space="preserve">Time to think critically about potential </w:t>
      </w:r>
      <w:proofErr w:type="gramStart"/>
      <w:r>
        <w:t>harms</w:t>
      </w:r>
      <w:proofErr w:type="gramEnd"/>
      <w:r>
        <w:t xml:space="preserve"> should be budgeted into AI-enabled workflows.</w:t>
      </w:r>
      <w:r>
        <w:rPr>
          <w:sz w:val="20"/>
        </w:rPr>
        <w:t xml:space="preserve"> </w:t>
      </w:r>
    </w:p>
    <w:p w14:paraId="477BF0F9" w14:textId="77777777" w:rsidR="008B4406" w:rsidRDefault="00F75208">
      <w:pPr>
        <w:numPr>
          <w:ilvl w:val="0"/>
          <w:numId w:val="8"/>
        </w:numPr>
        <w:ind w:hanging="361"/>
      </w:pPr>
      <w:r>
        <w:t>AI tools the college rolls out should be scaffolded with training, educational resources, and opportunities for feedback, and data-security decisions should be publicized frequently.</w:t>
      </w:r>
      <w:r>
        <w:rPr>
          <w:sz w:val="20"/>
        </w:rPr>
        <w:t xml:space="preserve"> </w:t>
      </w:r>
    </w:p>
    <w:p w14:paraId="78D85D37" w14:textId="77777777" w:rsidR="008B4406" w:rsidRDefault="00F75208">
      <w:pPr>
        <w:numPr>
          <w:ilvl w:val="0"/>
          <w:numId w:val="8"/>
        </w:numPr>
        <w:spacing w:after="308"/>
        <w:ind w:hanging="361"/>
      </w:pPr>
      <w:r>
        <w:t>Members strongly supported baseline, possibly mandatory, AI-literacy education for the campus community</w:t>
      </w:r>
      <w:r>
        <w:t>—</w:t>
      </w:r>
      <w:r>
        <w:t>covering fundamentals such as using Copilot versus ChatGPT</w:t>
      </w:r>
      <w:r>
        <w:t>—</w:t>
      </w:r>
      <w:r>
        <w:t>so average end users understand available tools and basic best practices.</w:t>
      </w:r>
      <w:r>
        <w:rPr>
          <w:sz w:val="20"/>
        </w:rPr>
        <w:t xml:space="preserve"> </w:t>
      </w:r>
    </w:p>
    <w:p w14:paraId="1F7D023D" w14:textId="77777777" w:rsidR="008B4406" w:rsidRDefault="00F75208">
      <w:pPr>
        <w:pStyle w:val="Heading1"/>
        <w:ind w:left="-5"/>
      </w:pPr>
      <w:r>
        <w:t>Next Steps and Related Work</w:t>
      </w:r>
      <w:r>
        <w:rPr>
          <w:b w:val="0"/>
          <w:color w:val="000000"/>
          <w:sz w:val="20"/>
        </w:rPr>
        <w:t xml:space="preserve"> </w:t>
      </w:r>
    </w:p>
    <w:p w14:paraId="19CBB05C" w14:textId="77777777" w:rsidR="008B4406" w:rsidRDefault="00F75208">
      <w:pPr>
        <w:spacing w:after="115"/>
        <w:ind w:left="0" w:firstLine="0"/>
      </w:pPr>
      <w:r>
        <w:t>The committee discussed how to carry the work forward and connected it to other active initiatives.</w:t>
      </w:r>
      <w:r>
        <w:rPr>
          <w:sz w:val="20"/>
        </w:rPr>
        <w:t xml:space="preserve"> </w:t>
      </w:r>
    </w:p>
    <w:p w14:paraId="363976DD" w14:textId="77777777" w:rsidR="008B4406" w:rsidRDefault="00F75208">
      <w:pPr>
        <w:numPr>
          <w:ilvl w:val="0"/>
          <w:numId w:val="9"/>
        </w:numPr>
        <w:ind w:hanging="361"/>
      </w:pPr>
      <w:r>
        <w:t>Members supported circulating the best-practices document more widely to broaden the discussion, noting it is non-binding guidance and that some staff are already using commercial AI less responsibly than the anonymization Leslie described.</w:t>
      </w:r>
      <w:r>
        <w:rPr>
          <w:sz w:val="20"/>
        </w:rPr>
        <w:t xml:space="preserve"> </w:t>
      </w:r>
    </w:p>
    <w:p w14:paraId="5591D406" w14:textId="77777777" w:rsidR="008B4406" w:rsidRDefault="00F75208">
      <w:pPr>
        <w:numPr>
          <w:ilvl w:val="0"/>
          <w:numId w:val="9"/>
        </w:numPr>
        <w:ind w:hanging="361"/>
      </w:pPr>
      <w:r>
        <w:t>The discussion should continue at the next meeting with Dave Robotham present to answer more granular questions (he led this portion and was on vacation), and possibly Ron for legal guidance, along with Kevin and Gail.</w:t>
      </w:r>
      <w:r>
        <w:rPr>
          <w:sz w:val="20"/>
        </w:rPr>
        <w:t xml:space="preserve"> </w:t>
      </w:r>
    </w:p>
    <w:p w14:paraId="567FDEEB" w14:textId="77777777" w:rsidR="008B4406" w:rsidRDefault="00F75208">
      <w:pPr>
        <w:numPr>
          <w:ilvl w:val="0"/>
          <w:numId w:val="9"/>
        </w:numPr>
        <w:ind w:hanging="361"/>
      </w:pPr>
      <w:r>
        <w:t>Chris Carruba reported he will meet with Matthew Rieger in the next week or two to begin advancing the AI and academic integrity task group; Rieger had recently returned from Scotland.</w:t>
      </w:r>
      <w:r>
        <w:rPr>
          <w:sz w:val="20"/>
        </w:rPr>
        <w:t xml:space="preserve"> </w:t>
      </w:r>
    </w:p>
    <w:p w14:paraId="0297B710" w14:textId="77777777" w:rsidR="008B4406" w:rsidRDefault="00F75208">
      <w:pPr>
        <w:numPr>
          <w:ilvl w:val="0"/>
          <w:numId w:val="9"/>
        </w:numPr>
        <w:spacing w:after="308" w:line="250" w:lineRule="auto"/>
        <w:ind w:hanging="361"/>
      </w:pPr>
      <w:r>
        <w:t>The follow-</w:t>
      </w:r>
      <w:r>
        <w:t xml:space="preserve">up meeting schedule will be set up in August, and Leslie Killgore’s AI literacy item was </w:t>
      </w:r>
      <w:r>
        <w:t>moved to the next meeting.</w:t>
      </w:r>
      <w:r>
        <w:rPr>
          <w:sz w:val="20"/>
        </w:rPr>
        <w:t xml:space="preserve"> </w:t>
      </w:r>
    </w:p>
    <w:p w14:paraId="1156A48D" w14:textId="77777777" w:rsidR="008B4406" w:rsidRDefault="00F75208">
      <w:pPr>
        <w:pStyle w:val="Heading1"/>
        <w:ind w:left="-5"/>
      </w:pPr>
      <w:r>
        <w:lastRenderedPageBreak/>
        <w:t>Adjournment</w:t>
      </w:r>
      <w:r>
        <w:rPr>
          <w:b w:val="0"/>
          <w:color w:val="000000"/>
          <w:sz w:val="20"/>
        </w:rPr>
        <w:t xml:space="preserve"> </w:t>
      </w:r>
    </w:p>
    <w:p w14:paraId="43F3707E" w14:textId="77777777" w:rsidR="008B4406" w:rsidRDefault="00F75208">
      <w:pPr>
        <w:ind w:left="0" w:firstLine="0"/>
      </w:pPr>
      <w:r>
        <w:t>With members needing to move to other meetings, the committee agreed to continue the discussion next time and adjourned.</w:t>
      </w:r>
      <w:r>
        <w:rPr>
          <w:sz w:val="20"/>
        </w:rPr>
        <w:t xml:space="preserve"> </w:t>
      </w:r>
    </w:p>
    <w:p w14:paraId="6D2F7640" w14:textId="77777777" w:rsidR="008B4406" w:rsidRDefault="00F75208">
      <w:pPr>
        <w:ind w:left="721" w:firstLine="0"/>
      </w:pPr>
      <w:r>
        <w:t>A motion to adjourn was made and seconded, and the committee thanked Gail Sidney and Kevin for their work and presentation.</w:t>
      </w:r>
      <w:r>
        <w:rPr>
          <w:sz w:val="20"/>
        </w:rPr>
        <w:t xml:space="preserve"> </w:t>
      </w:r>
    </w:p>
    <w:p w14:paraId="50D86558" w14:textId="77777777" w:rsidR="008B4406" w:rsidRDefault="00F75208">
      <w:pPr>
        <w:spacing w:after="303"/>
        <w:ind w:left="716"/>
      </w:pPr>
      <w:r>
        <w:rPr>
          <w:sz w:val="20"/>
        </w:rPr>
        <w:t>●</w:t>
      </w:r>
      <w:r>
        <w:rPr>
          <w:rFonts w:ascii="Arial" w:eastAsia="Arial" w:hAnsi="Arial" w:cs="Arial"/>
          <w:sz w:val="20"/>
        </w:rPr>
        <w:t xml:space="preserve"> </w:t>
      </w:r>
      <w:r>
        <w:t xml:space="preserve">The committee </w:t>
      </w:r>
      <w:proofErr w:type="gramStart"/>
      <w:r>
        <w:t>agreed</w:t>
      </w:r>
      <w:proofErr w:type="gramEnd"/>
      <w:r>
        <w:t xml:space="preserve"> the topic is important enough to invite the subcommittee members (and ideally Dave Robotham and Ron) back to the next meeting to help identify concrete next steps.</w:t>
      </w:r>
      <w:r>
        <w:rPr>
          <w:sz w:val="20"/>
        </w:rPr>
        <w:t xml:space="preserve"> </w:t>
      </w:r>
    </w:p>
    <w:p w14:paraId="18B4B09F" w14:textId="77777777" w:rsidR="008B4406" w:rsidRDefault="00F75208">
      <w:pPr>
        <w:pStyle w:val="Heading1"/>
        <w:ind w:left="-5"/>
      </w:pPr>
      <w:r>
        <w:t>AI Generated Action Items</w:t>
      </w:r>
      <w:r>
        <w:rPr>
          <w:b w:val="0"/>
          <w:color w:val="000000"/>
          <w:sz w:val="20"/>
        </w:rPr>
        <w:t xml:space="preserve"> </w:t>
      </w:r>
    </w:p>
    <w:p w14:paraId="66E87A75" w14:textId="77777777" w:rsidR="008B4406" w:rsidRDefault="00F75208">
      <w:pPr>
        <w:numPr>
          <w:ilvl w:val="0"/>
          <w:numId w:val="10"/>
        </w:numPr>
        <w:ind w:hanging="361"/>
      </w:pPr>
      <w:proofErr w:type="gramStart"/>
      <w:r>
        <w:t>Circulate</w:t>
      </w:r>
      <w:proofErr w:type="gramEnd"/>
      <w:r>
        <w:t xml:space="preserve"> the AI ethics best-practices document more widely for feedback and broader discussion, as nonbinding guidance.</w:t>
      </w:r>
      <w:r>
        <w:rPr>
          <w:sz w:val="20"/>
        </w:rPr>
        <w:t xml:space="preserve"> </w:t>
      </w:r>
    </w:p>
    <w:p w14:paraId="7FAECB44" w14:textId="77777777" w:rsidR="008B4406" w:rsidRDefault="00F75208">
      <w:pPr>
        <w:numPr>
          <w:ilvl w:val="0"/>
          <w:numId w:val="10"/>
        </w:numPr>
        <w:ind w:hanging="361"/>
      </w:pPr>
      <w:r>
        <w:t xml:space="preserve">Continue the </w:t>
      </w:r>
      <w:proofErr w:type="gramStart"/>
      <w:r>
        <w:t>best-practices</w:t>
      </w:r>
      <w:proofErr w:type="gramEnd"/>
      <w:r>
        <w:t xml:space="preserve"> discussion at the next meeting, inviting Dave Robotham (and possibly Ron for legal guidance), along with Kevin and Gail, to answer granular questions and identify concrete next steps.</w:t>
      </w:r>
      <w:r>
        <w:rPr>
          <w:sz w:val="20"/>
        </w:rPr>
        <w:t xml:space="preserve"> </w:t>
      </w:r>
    </w:p>
    <w:p w14:paraId="6FB8FE10" w14:textId="77777777" w:rsidR="008B4406" w:rsidRDefault="00F75208">
      <w:pPr>
        <w:numPr>
          <w:ilvl w:val="0"/>
          <w:numId w:val="10"/>
        </w:numPr>
        <w:ind w:hanging="361"/>
      </w:pPr>
      <w:r>
        <w:t>Chris Carruba to re-share the meeting invite so it can be forwarded to the subcommittee and other relevant participants.</w:t>
      </w:r>
      <w:r>
        <w:rPr>
          <w:sz w:val="20"/>
        </w:rPr>
        <w:t xml:space="preserve"> </w:t>
      </w:r>
    </w:p>
    <w:p w14:paraId="26F7B083" w14:textId="77777777" w:rsidR="008B4406" w:rsidRDefault="00F75208">
      <w:pPr>
        <w:numPr>
          <w:ilvl w:val="0"/>
          <w:numId w:val="10"/>
        </w:numPr>
        <w:ind w:hanging="361"/>
      </w:pPr>
      <w:r>
        <w:t xml:space="preserve">Chris Carruba </w:t>
      </w:r>
      <w:proofErr w:type="gramStart"/>
      <w:r>
        <w:t>to meet</w:t>
      </w:r>
      <w:proofErr w:type="gramEnd"/>
      <w:r>
        <w:t xml:space="preserve"> with Matthew Rieger in the next week or two to begin advancing the AI and academic integrity task group.</w:t>
      </w:r>
      <w:r>
        <w:rPr>
          <w:sz w:val="20"/>
        </w:rPr>
        <w:t xml:space="preserve"> </w:t>
      </w:r>
    </w:p>
    <w:p w14:paraId="073B5F72" w14:textId="77777777" w:rsidR="008B4406" w:rsidRDefault="00F75208">
      <w:pPr>
        <w:numPr>
          <w:ilvl w:val="0"/>
          <w:numId w:val="10"/>
        </w:numPr>
        <w:ind w:hanging="361"/>
      </w:pPr>
      <w:r>
        <w:t>Set up the follow-up meeting schedule in August.</w:t>
      </w:r>
      <w:r>
        <w:rPr>
          <w:sz w:val="20"/>
        </w:rPr>
        <w:t xml:space="preserve"> </w:t>
      </w:r>
    </w:p>
    <w:p w14:paraId="0BC94154" w14:textId="77777777" w:rsidR="008B4406" w:rsidRDefault="00F75208">
      <w:pPr>
        <w:numPr>
          <w:ilvl w:val="0"/>
          <w:numId w:val="10"/>
        </w:numPr>
        <w:spacing w:after="76" w:line="250" w:lineRule="auto"/>
        <w:ind w:hanging="361"/>
      </w:pPr>
      <w:r>
        <w:t>Move Leslie Killgore’s AI literacy item to the next meeting.</w:t>
      </w:r>
      <w:r>
        <w:rPr>
          <w:sz w:val="20"/>
        </w:rPr>
        <w:t xml:space="preserve"> </w:t>
      </w:r>
    </w:p>
    <w:p w14:paraId="42DBEDBC" w14:textId="77777777" w:rsidR="008B4406" w:rsidRDefault="00F75208">
      <w:pPr>
        <w:numPr>
          <w:ilvl w:val="0"/>
          <w:numId w:val="10"/>
        </w:numPr>
        <w:ind w:hanging="361"/>
      </w:pPr>
      <w:r>
        <w:t xml:space="preserve">Develop a student-data risk-classification framework (e.g., red/yellow/green) and a maintained list of </w:t>
      </w:r>
      <w:proofErr w:type="spellStart"/>
      <w:r>
        <w:t>ITvetted</w:t>
      </w:r>
      <w:proofErr w:type="spellEnd"/>
      <w:r>
        <w:t xml:space="preserve"> tools; do not enter student data into non-vetted AI tools.</w:t>
      </w:r>
      <w:r>
        <w:rPr>
          <w:sz w:val="20"/>
        </w:rPr>
        <w:t xml:space="preserve"> </w:t>
      </w:r>
    </w:p>
    <w:p w14:paraId="0A3C244F" w14:textId="77777777" w:rsidR="008B4406" w:rsidRDefault="00F75208">
      <w:pPr>
        <w:numPr>
          <w:ilvl w:val="0"/>
          <w:numId w:val="10"/>
        </w:numPr>
        <w:spacing w:after="76" w:line="250" w:lineRule="auto"/>
        <w:ind w:hanging="361"/>
      </w:pPr>
      <w:r>
        <w:t xml:space="preserve">Firm up vendor contract language (business associate agreements / “stand in our shoes”) beyond current </w:t>
      </w:r>
      <w:r>
        <w:t>state guidelines, addressing data, metadata, and liability duration.</w:t>
      </w:r>
      <w:r>
        <w:rPr>
          <w:sz w:val="20"/>
        </w:rPr>
        <w:t xml:space="preserve"> </w:t>
      </w:r>
    </w:p>
    <w:p w14:paraId="4049AA77" w14:textId="77777777" w:rsidR="008B4406" w:rsidRDefault="00F75208">
      <w:pPr>
        <w:numPr>
          <w:ilvl w:val="0"/>
          <w:numId w:val="10"/>
        </w:numPr>
        <w:ind w:hanging="361"/>
      </w:pPr>
      <w:r>
        <w:t>Explore baseline, possibly mandatory, AI-literacy education for the campus community (e.g., Copilot vs. ChatGPT) and identify who can offer it.</w:t>
      </w:r>
      <w:r>
        <w:rPr>
          <w:sz w:val="20"/>
        </w:rPr>
        <w:t xml:space="preserve"> </w:t>
      </w:r>
    </w:p>
    <w:sectPr w:rsidR="008B4406">
      <w:headerReference w:type="even" r:id="rId10"/>
      <w:headerReference w:type="default" r:id="rId11"/>
      <w:headerReference w:type="first" r:id="rId12"/>
      <w:pgSz w:w="12240" w:h="15840"/>
      <w:pgMar w:top="1133" w:right="1087" w:bottom="1173" w:left="1081" w:header="11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949B" w14:textId="77777777" w:rsidR="00F75208" w:rsidRDefault="00F75208">
      <w:pPr>
        <w:spacing w:after="0" w:line="240" w:lineRule="auto"/>
      </w:pPr>
      <w:r>
        <w:separator/>
      </w:r>
    </w:p>
  </w:endnote>
  <w:endnote w:type="continuationSeparator" w:id="0">
    <w:p w14:paraId="4259C150" w14:textId="77777777" w:rsidR="00F75208" w:rsidRDefault="00F7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7AF4" w14:textId="77777777" w:rsidR="00F75208" w:rsidRDefault="00F75208">
      <w:pPr>
        <w:spacing w:after="0" w:line="240" w:lineRule="auto"/>
      </w:pPr>
      <w:r>
        <w:separator/>
      </w:r>
    </w:p>
  </w:footnote>
  <w:footnote w:type="continuationSeparator" w:id="0">
    <w:p w14:paraId="289EBF1C" w14:textId="77777777" w:rsidR="00F75208" w:rsidRDefault="00F75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E74D" w14:textId="77777777" w:rsidR="008B4406" w:rsidRDefault="008B4406">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331C" w14:textId="77777777" w:rsidR="008B4406" w:rsidRDefault="00F75208">
    <w:pPr>
      <w:spacing w:after="0" w:line="259" w:lineRule="auto"/>
      <w:ind w:left="360" w:firstLine="0"/>
    </w:pPr>
    <w:r>
      <w:rPr>
        <w:sz w:val="20"/>
      </w:rPr>
      <w:t>●</w:t>
    </w:r>
    <w:r>
      <w:rPr>
        <w:rFonts w:ascii="Arial" w:eastAsia="Arial" w:hAnsi="Arial" w:cs="Arial"/>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95DE" w14:textId="77777777" w:rsidR="008B4406" w:rsidRDefault="008B440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EE7A" w14:textId="77777777" w:rsidR="008B4406" w:rsidRDefault="00F75208">
    <w:pPr>
      <w:spacing w:after="0" w:line="259" w:lineRule="auto"/>
      <w:ind w:left="360" w:firstLine="0"/>
    </w:pPr>
    <w:r>
      <w:rPr>
        <w:sz w:val="20"/>
      </w:rPr>
      <w:t>●</w:t>
    </w:r>
    <w:r>
      <w:rPr>
        <w:rFonts w:ascii="Arial" w:eastAsia="Arial" w:hAnsi="Arial" w:cs="Arial"/>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8165" w14:textId="77777777" w:rsidR="008B4406" w:rsidRDefault="00F75208">
    <w:pPr>
      <w:spacing w:after="0" w:line="259" w:lineRule="auto"/>
      <w:ind w:left="360" w:firstLine="0"/>
    </w:pPr>
    <w:r>
      <w:rPr>
        <w:sz w:val="20"/>
      </w:rPr>
      <w:t>●</w:t>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1CB7" w14:textId="77777777" w:rsidR="008B4406" w:rsidRDefault="00F75208">
    <w:pPr>
      <w:spacing w:after="0" w:line="259" w:lineRule="auto"/>
      <w:ind w:left="360" w:firstLine="0"/>
    </w:pPr>
    <w:r>
      <w:rPr>
        <w:sz w:val="20"/>
      </w:rPr>
      <w:t>●</w:t>
    </w:r>
    <w:r>
      <w:rPr>
        <w:rFonts w:ascii="Arial" w:eastAsia="Arial" w:hAnsi="Arial" w:cs="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6472"/>
    <w:multiLevelType w:val="hybridMultilevel"/>
    <w:tmpl w:val="55B42C8A"/>
    <w:lvl w:ilvl="0" w:tplc="FD121F94">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661386">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D8AF20">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4AA28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A258AA">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60D108">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E8417E">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700654">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C6C854">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682F30"/>
    <w:multiLevelType w:val="hybridMultilevel"/>
    <w:tmpl w:val="0FE4EC36"/>
    <w:lvl w:ilvl="0" w:tplc="946C7DA8">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A70A540">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3E823C4">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9204E4">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465A22">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954743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18738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4CFF4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72798C">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173986"/>
    <w:multiLevelType w:val="hybridMultilevel"/>
    <w:tmpl w:val="2D72BD88"/>
    <w:lvl w:ilvl="0" w:tplc="AAE82298">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CEE27E">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DC9B5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8F0214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FD8B900">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6E089C">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30907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02CE5A">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DF821F4">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C370181"/>
    <w:multiLevelType w:val="hybridMultilevel"/>
    <w:tmpl w:val="C22A77EC"/>
    <w:lvl w:ilvl="0" w:tplc="1B503EFE">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A8094A0">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565D88">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34B19A">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EEE0FC">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9C49A0">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0C3BF8">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FE4D1A">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BA4F54">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8280594"/>
    <w:multiLevelType w:val="hybridMultilevel"/>
    <w:tmpl w:val="8070D63E"/>
    <w:lvl w:ilvl="0" w:tplc="95BCE244">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96109A">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5E12B0">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10FF7A">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3A8CB6">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4BC996C">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7BAF84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7B6AC0A">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D011B6">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7E00018"/>
    <w:multiLevelType w:val="hybridMultilevel"/>
    <w:tmpl w:val="B19AFB5C"/>
    <w:lvl w:ilvl="0" w:tplc="9B802B42">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68960A">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F86838">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B485BE">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5452B0">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AE95FC">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C2529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C94CEE6">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DE8D8C">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E3D22C6"/>
    <w:multiLevelType w:val="hybridMultilevel"/>
    <w:tmpl w:val="73249784"/>
    <w:lvl w:ilvl="0" w:tplc="3AAC4220">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0267908">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525B12">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CA0A5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2A1AB4">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8C1A0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80D99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0404B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01A80D8">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E5B1C03"/>
    <w:multiLevelType w:val="hybridMultilevel"/>
    <w:tmpl w:val="C71E623A"/>
    <w:lvl w:ilvl="0" w:tplc="AB5A0968">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D24834">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4E9F6A">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54C0E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0AF7FC">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46058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2663DE">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4E23D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44EB68">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6022B84"/>
    <w:multiLevelType w:val="hybridMultilevel"/>
    <w:tmpl w:val="6644B8B0"/>
    <w:lvl w:ilvl="0" w:tplc="B09A6F24">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EEF5E8">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B0A150">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36CAA2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C6D5C">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FCC998">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EDD22">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263284">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6543AF0">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E5E5569"/>
    <w:multiLevelType w:val="hybridMultilevel"/>
    <w:tmpl w:val="0F4AE338"/>
    <w:lvl w:ilvl="0" w:tplc="96A23E4C">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A4FD04">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081BBC">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8C4106">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8A627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5009C2">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3864EA">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5016A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1BEE7D8">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375618942">
    <w:abstractNumId w:val="9"/>
  </w:num>
  <w:num w:numId="2" w16cid:durableId="1399597007">
    <w:abstractNumId w:val="6"/>
  </w:num>
  <w:num w:numId="3" w16cid:durableId="2094163138">
    <w:abstractNumId w:val="2"/>
  </w:num>
  <w:num w:numId="4" w16cid:durableId="1579704666">
    <w:abstractNumId w:val="5"/>
  </w:num>
  <w:num w:numId="5" w16cid:durableId="140074604">
    <w:abstractNumId w:val="0"/>
  </w:num>
  <w:num w:numId="6" w16cid:durableId="1800568445">
    <w:abstractNumId w:val="4"/>
  </w:num>
  <w:num w:numId="7" w16cid:durableId="1039402749">
    <w:abstractNumId w:val="1"/>
  </w:num>
  <w:num w:numId="8" w16cid:durableId="63796412">
    <w:abstractNumId w:val="3"/>
  </w:num>
  <w:num w:numId="9" w16cid:durableId="137382612">
    <w:abstractNumId w:val="7"/>
  </w:num>
  <w:num w:numId="10" w16cid:durableId="1324048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406"/>
    <w:rsid w:val="00102A3C"/>
    <w:rsid w:val="00126947"/>
    <w:rsid w:val="008B4406"/>
    <w:rsid w:val="00F75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6210"/>
  <w15:docId w15:val="{65C45225-0740-4558-A9A6-A9CC8736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9" w:lineRule="auto"/>
      <w:ind w:left="371" w:hanging="371"/>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37" w:line="259" w:lineRule="auto"/>
      <w:ind w:left="10" w:hanging="10"/>
      <w:outlineLvl w:val="0"/>
    </w:pPr>
    <w:rPr>
      <w:rFonts w:ascii="Times New Roman" w:eastAsia="Times New Roman" w:hAnsi="Times New Roman" w:cs="Times New Roman"/>
      <w:b/>
      <w:color w:val="1F4E79"/>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1F4E79"/>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AF14F67E6B448A7DF6B4BBD95813A" ma:contentTypeVersion="8" ma:contentTypeDescription="Create a new document." ma:contentTypeScope="" ma:versionID="40efaed5f4a45136805b5bf7fdac8e66">
  <xsd:schema xmlns:xsd="http://www.w3.org/2001/XMLSchema" xmlns:xs="http://www.w3.org/2001/XMLSchema" xmlns:p="http://schemas.microsoft.com/office/2006/metadata/properties" xmlns:ns2="54bcb6bb-c504-443d-8cd4-7a1f0e149b33" targetNamespace="http://schemas.microsoft.com/office/2006/metadata/properties" ma:root="true" ma:fieldsID="a56d518c5bebfc9f23356e9dd73bb097" ns2:_="">
    <xsd:import namespace="54bcb6bb-c504-443d-8cd4-7a1f0e149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b6bb-c504-443d-8cd4-7a1f0e149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E996C5-49DF-4B8B-B465-58A34DC03C99}"/>
</file>

<file path=customXml/itemProps2.xml><?xml version="1.0" encoding="utf-8"?>
<ds:datastoreItem xmlns:ds="http://schemas.openxmlformats.org/officeDocument/2006/customXml" ds:itemID="{944F79AF-25A1-45D4-8168-45CF965E2862}"/>
</file>

<file path=customXml/itemProps3.xml><?xml version="1.0" encoding="utf-8"?>
<ds:datastoreItem xmlns:ds="http://schemas.openxmlformats.org/officeDocument/2006/customXml" ds:itemID="{DEC3AAAC-DCA6-43F2-A1CD-55C08A94D76C}"/>
</file>

<file path=docProps/app.xml><?xml version="1.0" encoding="utf-8"?>
<Properties xmlns="http://schemas.openxmlformats.org/officeDocument/2006/extended-properties" xmlns:vt="http://schemas.openxmlformats.org/officeDocument/2006/docPropsVTypes">
  <Template>Normal</Template>
  <TotalTime>1</TotalTime>
  <Pages>6</Pages>
  <Words>2194</Words>
  <Characters>12512</Characters>
  <Application>Microsoft Office Word</Application>
  <DocSecurity>0</DocSecurity>
  <Lines>104</Lines>
  <Paragraphs>29</Paragraphs>
  <ScaleCrop>false</ScaleCrop>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Killgore, Leslie</cp:lastModifiedBy>
  <cp:revision>2</cp:revision>
  <dcterms:created xsi:type="dcterms:W3CDTF">2026-10-19T16:19:00Z</dcterms:created>
  <dcterms:modified xsi:type="dcterms:W3CDTF">2026-10-19T16:19:00Z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0x010100646AF14F67E6B448A7DF6B4BBD95813A</vt:lpwstr>
  </property>
</Properties>
</file>